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tabs>
          <w:tab w:val="right" w:pos="9639"/>
        </w:tabs>
        <w:kinsoku/>
        <w:wordWrap/>
        <w:topLinePunct w:val="0"/>
        <w:bidi w:val="0"/>
        <w:snapToGrid/>
        <w:spacing w:after="0" w:line="260" w:lineRule="auto"/>
        <w:outlineLvl w:val="9"/>
        <w:rPr>
          <w:rFonts w:ascii="Arial" w:hAnsi="Arial"/>
          <w:b/>
          <w:i/>
          <w:sz w:val="28"/>
        </w:rPr>
      </w:pPr>
      <w:bookmarkStart w:id="0" w:name="_Toc193024528"/>
      <w:bookmarkStart w:id="1" w:name="page2"/>
      <w:r>
        <w:rPr>
          <w:rFonts w:ascii="Arial" w:hAnsi="Arial"/>
          <w:b/>
          <w:sz w:val="24"/>
        </w:rPr>
        <w:t>3GPP TSG-RAN</w:t>
      </w:r>
      <w:r>
        <w:rPr>
          <w:rFonts w:hint="eastAsia" w:ascii="Arial" w:hAnsi="Arial" w:eastAsia="宋体"/>
          <w:b/>
          <w:sz w:val="24"/>
          <w:lang w:val="en-US" w:eastAsia="zh-CN"/>
        </w:rPr>
        <w:t xml:space="preserve"> WG2</w:t>
      </w:r>
      <w:r>
        <w:rPr>
          <w:rFonts w:ascii="Arial" w:hAnsi="Arial"/>
          <w:b/>
          <w:sz w:val="24"/>
        </w:rPr>
        <w:t xml:space="preserve"> #12</w:t>
      </w:r>
      <w:r>
        <w:rPr>
          <w:rFonts w:hint="eastAsia" w:ascii="Arial" w:hAnsi="Arial" w:eastAsia="宋体"/>
          <w:b/>
          <w:sz w:val="24"/>
          <w:lang w:val="en-US" w:eastAsia="zh-CN"/>
        </w:rPr>
        <w:t>4</w:t>
      </w:r>
      <w:r>
        <w:rPr>
          <w:rFonts w:ascii="Arial" w:hAnsi="Arial"/>
          <w:b/>
          <w:i/>
          <w:sz w:val="28"/>
        </w:rPr>
        <w:tab/>
      </w:r>
      <w:r>
        <w:rPr>
          <w:rFonts w:hint="eastAsia" w:ascii="Arial" w:hAnsi="Arial" w:eastAsia="宋体" w:cs="Arial"/>
          <w:b/>
          <w:bCs/>
          <w:sz w:val="24"/>
          <w:szCs w:val="24"/>
          <w:highlight w:val="none"/>
          <w:lang w:val="en-US" w:eastAsia="zh-CN"/>
        </w:rPr>
        <w:t>R2-2313414</w:t>
      </w:r>
    </w:p>
    <w:p>
      <w:pPr>
        <w:pStyle w:val="93"/>
        <w:keepNext w:val="0"/>
        <w:keepLines w:val="0"/>
        <w:pageBreakBefore w:val="0"/>
        <w:widowControl/>
        <w:kinsoku/>
        <w:wordWrap/>
        <w:topLinePunct w:val="0"/>
        <w:bidi w:val="0"/>
        <w:snapToGrid/>
        <w:spacing w:line="260" w:lineRule="auto"/>
        <w:outlineLvl w:val="9"/>
        <w:rPr>
          <w:rFonts w:cs="Arial"/>
          <w:b/>
          <w:sz w:val="24"/>
          <w:szCs w:val="24"/>
        </w:rPr>
      </w:pPr>
      <w:r>
        <w:rPr>
          <w:b/>
          <w:sz w:val="24"/>
        </w:rPr>
        <w:t>Chicago, US, 13-17 Nov, 2023</w:t>
      </w:r>
      <w:bookmarkStart w:id="12" w:name="_GoBack"/>
      <w:bookmarkEnd w:id="12"/>
    </w:p>
    <w:bookmarkEnd w:id="0"/>
    <w:tbl>
      <w:tblPr>
        <w:tblStyle w:val="41"/>
        <w:tblW w:w="0" w:type="auto"/>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70" w:hRule="atLeast"/>
        </w:trPr>
        <w:tc>
          <w:tcPr>
            <w:tcW w:w="9641" w:type="dxa"/>
            <w:gridSpan w:val="9"/>
            <w:tcBorders>
              <w:top w:val="single" w:color="auto" w:sz="4" w:space="0"/>
              <w:left w:val="single" w:color="auto" w:sz="4" w:space="0"/>
              <w:right w:val="single" w:color="auto" w:sz="4" w:space="0"/>
            </w:tcBorders>
          </w:tcPr>
          <w:p>
            <w:pPr>
              <w:pStyle w:val="93"/>
              <w:spacing w:after="0"/>
              <w:jc w:val="right"/>
              <w:rPr>
                <w:rFonts w:eastAsia="宋体"/>
                <w:i/>
                <w:lang w:val="en-US" w:eastAsia="zh-CN"/>
              </w:rPr>
            </w:pPr>
            <w:r>
              <w:rPr>
                <w:i/>
                <w:color w:val="0070C0"/>
                <w:lang w:eastAsia="en-GB"/>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e1tm58FAACZFgAADgAAAGRycy9lMm9Eb2MueG1s7Vhbk5s2FH7vTP8D&#10;4SEPnTRGEkj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hint="eastAsia" w:eastAsia="宋体"/>
                <w:i/>
                <w:sz w:val="14"/>
                <w:lang w:val="en-US" w:eastAsia="zh-CN"/>
              </w:rPr>
              <w:t>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93"/>
              <w:spacing w:after="0"/>
              <w:jc w:val="right"/>
            </w:pPr>
          </w:p>
        </w:tc>
        <w:tc>
          <w:tcPr>
            <w:tcW w:w="1559" w:type="dxa"/>
            <w:shd w:val="pct30" w:color="FFFF00" w:fill="auto"/>
          </w:tcPr>
          <w:p>
            <w:pPr>
              <w:pStyle w:val="93"/>
              <w:spacing w:after="0"/>
              <w:jc w:val="right"/>
              <w:rPr>
                <w:rFonts w:eastAsia="宋体"/>
                <w:b/>
                <w:sz w:val="28"/>
                <w:lang w:val="en-US" w:eastAsia="zh-CN"/>
              </w:rPr>
            </w:pPr>
            <w:r>
              <w:rPr>
                <w:b/>
                <w:sz w:val="28"/>
              </w:rPr>
              <w:t>38.</w:t>
            </w:r>
            <w:r>
              <w:rPr>
                <w:rFonts w:hint="eastAsia" w:eastAsia="宋体"/>
                <w:b/>
                <w:sz w:val="28"/>
                <w:lang w:val="en-US" w:eastAsia="zh-CN"/>
              </w:rPr>
              <w:t>321</w:t>
            </w:r>
          </w:p>
        </w:tc>
        <w:tc>
          <w:tcPr>
            <w:tcW w:w="709" w:type="dxa"/>
            <w:shd w:val="clear" w:color="auto" w:fill="auto"/>
          </w:tcPr>
          <w:p>
            <w:pPr>
              <w:pStyle w:val="93"/>
              <w:spacing w:after="0"/>
              <w:jc w:val="center"/>
            </w:pPr>
            <w:r>
              <w:rPr>
                <w:b/>
                <w:sz w:val="28"/>
              </w:rPr>
              <w:t>CR</w:t>
            </w:r>
          </w:p>
        </w:tc>
        <w:tc>
          <w:tcPr>
            <w:tcW w:w="1276" w:type="dxa"/>
            <w:shd w:val="pct30" w:color="FFFF00" w:fill="auto"/>
          </w:tcPr>
          <w:p>
            <w:pPr>
              <w:pStyle w:val="93"/>
              <w:spacing w:after="0"/>
              <w:rPr>
                <w:rFonts w:hint="default" w:eastAsia="宋体"/>
                <w:lang w:val="en-US" w:eastAsia="zh-CN"/>
              </w:rPr>
            </w:pPr>
            <w:r>
              <w:rPr>
                <w:b/>
                <w:sz w:val="28"/>
              </w:rPr>
              <w:t xml:space="preserve"> </w:t>
            </w:r>
            <w:r>
              <w:rPr>
                <w:rFonts w:hint="eastAsia" w:eastAsia="宋体"/>
                <w:b/>
                <w:sz w:val="28"/>
                <w:lang w:val="en-US" w:eastAsia="zh-CN"/>
              </w:rPr>
              <w:t>1688</w:t>
            </w:r>
          </w:p>
        </w:tc>
        <w:tc>
          <w:tcPr>
            <w:tcW w:w="709" w:type="dxa"/>
            <w:shd w:val="clear" w:color="auto" w:fill="auto"/>
          </w:tcPr>
          <w:p>
            <w:pPr>
              <w:pStyle w:val="93"/>
              <w:tabs>
                <w:tab w:val="right" w:pos="625"/>
              </w:tabs>
              <w:spacing w:after="0"/>
              <w:jc w:val="center"/>
            </w:pPr>
            <w:r>
              <w:rPr>
                <w:b/>
                <w:bCs/>
                <w:sz w:val="28"/>
              </w:rPr>
              <w:t>rev</w:t>
            </w:r>
          </w:p>
        </w:tc>
        <w:tc>
          <w:tcPr>
            <w:tcW w:w="992" w:type="dxa"/>
            <w:shd w:val="pct30" w:color="FFFF00" w:fill="auto"/>
          </w:tcPr>
          <w:p>
            <w:pPr>
              <w:pStyle w:val="93"/>
              <w:spacing w:after="0"/>
              <w:jc w:val="center"/>
              <w:rPr>
                <w:rFonts w:hint="default" w:eastAsia="宋体"/>
                <w:b/>
                <w:lang w:val="en-US" w:eastAsia="zh-CN"/>
              </w:rPr>
            </w:pPr>
            <w:r>
              <w:rPr>
                <w:rFonts w:hint="eastAsia" w:eastAsia="宋体"/>
                <w:b/>
                <w:lang w:val="en-US" w:eastAsia="zh-CN"/>
              </w:rPr>
              <w:t>2</w:t>
            </w:r>
          </w:p>
        </w:tc>
        <w:tc>
          <w:tcPr>
            <w:tcW w:w="2410" w:type="dxa"/>
            <w:shd w:val="clear" w:color="auto" w:fill="auto"/>
          </w:tcPr>
          <w:p>
            <w:pPr>
              <w:pStyle w:val="93"/>
              <w:tabs>
                <w:tab w:val="right" w:pos="1825"/>
              </w:tabs>
              <w:spacing w:after="0"/>
              <w:jc w:val="center"/>
            </w:pPr>
            <w:r>
              <w:rPr>
                <w:b/>
                <w:sz w:val="28"/>
                <w:szCs w:val="28"/>
              </w:rPr>
              <w:t>Current version:</w:t>
            </w:r>
          </w:p>
        </w:tc>
        <w:tc>
          <w:tcPr>
            <w:tcW w:w="1701" w:type="dxa"/>
            <w:shd w:val="pct30" w:color="FFFF00" w:fill="auto"/>
          </w:tcPr>
          <w:p>
            <w:pPr>
              <w:pStyle w:val="93"/>
              <w:spacing w:after="0"/>
              <w:jc w:val="center"/>
              <w:rPr>
                <w:sz w:val="28"/>
              </w:rPr>
            </w:pPr>
            <w:r>
              <w:rPr>
                <w:rFonts w:hint="eastAsia" w:eastAsia="宋体"/>
                <w:b/>
                <w:sz w:val="28"/>
                <w:lang w:val="en-US" w:eastAsia="zh-CN"/>
              </w:rPr>
              <w:t>17</w:t>
            </w:r>
            <w:r>
              <w:rPr>
                <w:b/>
                <w:sz w:val="28"/>
              </w:rPr>
              <w:t>.</w:t>
            </w:r>
            <w:r>
              <w:rPr>
                <w:rFonts w:hint="eastAsia" w:eastAsia="宋体"/>
                <w:b/>
                <w:sz w:val="28"/>
                <w:lang w:val="en-US" w:eastAsia="zh-CN"/>
              </w:rPr>
              <w:t>6</w:t>
            </w:r>
            <w:r>
              <w:rPr>
                <w:b/>
                <w:sz w:val="28"/>
              </w:rPr>
              <w:t>.0</w:t>
            </w:r>
          </w:p>
        </w:tc>
        <w:tc>
          <w:tcPr>
            <w:tcW w:w="143" w:type="dxa"/>
            <w:tcBorders>
              <w:right w:val="single" w:color="auto" w:sz="4" w:space="0"/>
            </w:tcBorders>
          </w:tcPr>
          <w:p>
            <w:pPr>
              <w:pStyle w:val="9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pPr>
          </w:p>
        </w:tc>
      </w:tr>
      <w:tr>
        <w:tblPrEx>
          <w:tblCellMar>
            <w:top w:w="0" w:type="dxa"/>
            <w:left w:w="42" w:type="dxa"/>
            <w:bottom w:w="0" w:type="dxa"/>
            <w:right w:w="42" w:type="dxa"/>
          </w:tblCellMar>
        </w:tblPrEx>
        <w:trPr>
          <w:trHeight w:val="70" w:hRule="atLeast"/>
        </w:trPr>
        <w:tc>
          <w:tcPr>
            <w:tcW w:w="9641" w:type="dxa"/>
            <w:gridSpan w:val="9"/>
            <w:tcBorders>
              <w:top w:val="single" w:color="auto" w:sz="4" w:space="0"/>
            </w:tcBorders>
          </w:tcPr>
          <w:p>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2" w:name="_Hlt497126619"/>
            <w:r>
              <w:rPr>
                <w:rStyle w:val="46"/>
                <w:rFonts w:cs="Arial"/>
                <w:b/>
                <w:i/>
                <w:color w:val="FF0000"/>
              </w:rPr>
              <w:t>L</w:t>
            </w:r>
            <w:bookmarkEnd w:id="2"/>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3"/>
              <w:spacing w:after="0"/>
              <w:rPr>
                <w:sz w:val="8"/>
                <w:szCs w:val="8"/>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93"/>
              <w:tabs>
                <w:tab w:val="right" w:pos="2751"/>
              </w:tabs>
              <w:spacing w:after="0"/>
              <w:rPr>
                <w:b/>
                <w:i/>
              </w:rPr>
            </w:pPr>
            <w:r>
              <w:rPr>
                <w:b/>
                <w:i/>
              </w:rPr>
              <w:t>Proposed change affects:</w:t>
            </w:r>
          </w:p>
        </w:tc>
        <w:tc>
          <w:tcPr>
            <w:tcW w:w="1418" w:type="dxa"/>
            <w:shd w:val="clear" w:color="auto" w:fill="auto"/>
          </w:tcPr>
          <w:p>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3"/>
              <w:spacing w:after="0"/>
              <w:jc w:val="center"/>
              <w:rPr>
                <w:b/>
                <w:caps/>
              </w:rPr>
            </w:pPr>
          </w:p>
        </w:tc>
        <w:tc>
          <w:tcPr>
            <w:tcW w:w="709" w:type="dxa"/>
            <w:tcBorders>
              <w:left w:val="single" w:color="auto" w:sz="4" w:space="0"/>
            </w:tcBorders>
            <w:shd w:val="clear" w:color="auto" w:fill="auto"/>
          </w:tcPr>
          <w:p>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caps/>
              </w:rPr>
            </w:pPr>
            <w:r>
              <w:rPr>
                <w:b/>
                <w:caps/>
              </w:rPr>
              <w:t>X</w:t>
            </w:r>
          </w:p>
        </w:tc>
        <w:tc>
          <w:tcPr>
            <w:tcW w:w="2126" w:type="dxa"/>
            <w:shd w:val="clear" w:color="auto" w:fill="auto"/>
          </w:tcPr>
          <w:p>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3"/>
              <w:spacing w:after="0"/>
              <w:jc w:val="center"/>
              <w:rPr>
                <w:b/>
                <w:caps/>
              </w:rPr>
            </w:pPr>
            <w:r>
              <w:rPr>
                <w:b/>
                <w:caps/>
              </w:rPr>
              <w:t>X</w:t>
            </w:r>
          </w:p>
        </w:tc>
        <w:tc>
          <w:tcPr>
            <w:tcW w:w="1418" w:type="dxa"/>
            <w:tcBorders>
              <w:left w:val="nil"/>
            </w:tcBorders>
            <w:shd w:val="clear" w:color="auto" w:fill="auto"/>
          </w:tcPr>
          <w:p>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bCs/>
                <w:caps/>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3"/>
              <w:spacing w:after="0"/>
              <w:ind w:left="100"/>
              <w:rPr>
                <w:rFonts w:eastAsia="宋体"/>
                <w:lang w:val="en-US" w:eastAsia="zh-CN"/>
              </w:rPr>
            </w:pPr>
            <w:r>
              <w:rPr>
                <w:rFonts w:hint="eastAsia"/>
                <w:szCs w:val="18"/>
              </w:rPr>
              <w:t>C</w:t>
            </w:r>
            <w:r>
              <w:rPr>
                <w:rFonts w:hint="eastAsia" w:eastAsia="宋体"/>
                <w:szCs w:val="18"/>
                <w:lang w:val="en-US" w:eastAsia="zh-CN"/>
              </w:rPr>
              <w:t>orrection</w:t>
            </w:r>
            <w:r>
              <w:rPr>
                <w:rFonts w:hint="eastAsia"/>
                <w:szCs w:val="18"/>
              </w:rPr>
              <w:t xml:space="preserve"> on</w:t>
            </w:r>
            <w:r>
              <w:t xml:space="preserve"> SRI in IAB MAC CEs</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7"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rPr>
          <w:trHeight w:val="221" w:hRule="atLeast"/>
        </w:trPr>
        <w:tc>
          <w:tcPr>
            <w:tcW w:w="1843" w:type="dxa"/>
            <w:tcBorders>
              <w:left w:val="single" w:color="auto" w:sz="4" w:space="0"/>
            </w:tcBorders>
            <w:shd w:val="clear" w:color="auto" w:fill="auto"/>
          </w:tcPr>
          <w:p>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3"/>
              <w:spacing w:after="0"/>
              <w:ind w:left="100"/>
              <w:rPr>
                <w:rFonts w:hint="default" w:eastAsia="宋体"/>
                <w:lang w:val="en-US" w:eastAsia="zh-CN"/>
              </w:rPr>
            </w:pPr>
            <w:r>
              <w:rPr>
                <w:lang w:val="fr-FR"/>
              </w:rPr>
              <w:t>ZTE</w:t>
            </w:r>
            <w:r>
              <w:rPr>
                <w:rFonts w:hint="eastAsia" w:eastAsia="宋体"/>
                <w:lang w:val="en-US" w:eastAsia="zh-CN"/>
              </w:rPr>
              <w:t xml:space="preserve">, </w:t>
            </w:r>
            <w:r>
              <w:rPr>
                <w:rFonts w:hint="default"/>
                <w:lang w:val="en-US" w:eastAsia="zh-CN"/>
              </w:rPr>
              <w:t>Sanechips</w:t>
            </w:r>
            <w:r>
              <w:rPr>
                <w:rFonts w:hint="eastAsia"/>
                <w:lang w:val="en-US" w:eastAsia="zh-CN"/>
              </w:rPr>
              <w:t>, Samsung</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3"/>
              <w:spacing w:after="0"/>
              <w:ind w:left="100"/>
              <w:rPr>
                <w:rFonts w:hint="eastAsia" w:eastAsia="宋体"/>
                <w:lang w:val="en-US" w:eastAsia="zh-CN"/>
              </w:rPr>
            </w:pPr>
            <w:r>
              <w:t>R</w:t>
            </w:r>
            <w:r>
              <w:rPr>
                <w:rFonts w:hint="eastAsia" w:eastAsia="宋体"/>
                <w:lang w:val="en-US" w:eastAsia="zh-CN"/>
              </w:rPr>
              <w:t>2</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7"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Work item code:</w:t>
            </w:r>
          </w:p>
        </w:tc>
        <w:tc>
          <w:tcPr>
            <w:tcW w:w="3686" w:type="dxa"/>
            <w:gridSpan w:val="5"/>
            <w:shd w:val="pct30" w:color="FFFF00" w:fill="auto"/>
          </w:tcPr>
          <w:p>
            <w:pPr>
              <w:pStyle w:val="93"/>
              <w:spacing w:after="0"/>
              <w:ind w:left="100"/>
            </w:pPr>
            <w:r>
              <w:rPr>
                <w:rFonts w:hint="eastAsia"/>
              </w:rPr>
              <w:t>NR_IAB_enh-Core</w:t>
            </w:r>
          </w:p>
        </w:tc>
        <w:tc>
          <w:tcPr>
            <w:tcW w:w="567" w:type="dxa"/>
            <w:tcBorders>
              <w:left w:val="nil"/>
            </w:tcBorders>
            <w:shd w:val="clear" w:color="auto" w:fill="auto"/>
          </w:tcPr>
          <w:p>
            <w:pPr>
              <w:pStyle w:val="93"/>
              <w:spacing w:after="0"/>
              <w:ind w:right="100"/>
            </w:pPr>
          </w:p>
        </w:tc>
        <w:tc>
          <w:tcPr>
            <w:tcW w:w="1417" w:type="dxa"/>
            <w:gridSpan w:val="3"/>
            <w:tcBorders>
              <w:left w:val="nil"/>
            </w:tcBorders>
            <w:shd w:val="clear" w:color="auto" w:fill="auto"/>
          </w:tcPr>
          <w:p>
            <w:pPr>
              <w:pStyle w:val="93"/>
              <w:spacing w:after="0"/>
              <w:jc w:val="right"/>
            </w:pPr>
            <w:r>
              <w:rPr>
                <w:b/>
                <w:i/>
              </w:rPr>
              <w:t>Date:</w:t>
            </w:r>
          </w:p>
        </w:tc>
        <w:tc>
          <w:tcPr>
            <w:tcW w:w="2127" w:type="dxa"/>
            <w:tcBorders>
              <w:right w:val="single" w:color="auto" w:sz="4" w:space="0"/>
            </w:tcBorders>
            <w:shd w:val="pct30" w:color="FFFF00" w:fill="auto"/>
          </w:tcPr>
          <w:p>
            <w:pPr>
              <w:pStyle w:val="93"/>
              <w:spacing w:after="0"/>
              <w:rPr>
                <w:rFonts w:hint="default" w:eastAsia="宋体"/>
                <w:lang w:val="en-US" w:eastAsia="zh-CN"/>
              </w:rPr>
            </w:pPr>
            <w:r>
              <w:t>202</w:t>
            </w:r>
            <w:r>
              <w:rPr>
                <w:rFonts w:hint="eastAsia" w:eastAsia="宋体"/>
                <w:lang w:val="en-US" w:eastAsia="zh-CN"/>
              </w:rPr>
              <w:t>3</w:t>
            </w:r>
            <w:r>
              <w:t>-</w:t>
            </w:r>
            <w:r>
              <w:rPr>
                <w:rFonts w:hint="eastAsia" w:eastAsia="宋体"/>
                <w:lang w:val="en-US" w:eastAsia="zh-CN"/>
              </w:rPr>
              <w:t>11</w:t>
            </w:r>
            <w:r>
              <w:t>-</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1986" w:type="dxa"/>
            <w:gridSpan w:val="4"/>
          </w:tcPr>
          <w:p>
            <w:pPr>
              <w:pStyle w:val="93"/>
              <w:spacing w:after="0"/>
              <w:rPr>
                <w:sz w:val="8"/>
                <w:szCs w:val="8"/>
              </w:rPr>
            </w:pPr>
          </w:p>
        </w:tc>
        <w:tc>
          <w:tcPr>
            <w:tcW w:w="2267" w:type="dxa"/>
            <w:gridSpan w:val="2"/>
          </w:tcPr>
          <w:p>
            <w:pPr>
              <w:pStyle w:val="93"/>
              <w:spacing w:after="0"/>
              <w:rPr>
                <w:sz w:val="8"/>
                <w:szCs w:val="8"/>
              </w:rPr>
            </w:pPr>
          </w:p>
        </w:tc>
        <w:tc>
          <w:tcPr>
            <w:tcW w:w="1417" w:type="dxa"/>
            <w:gridSpan w:val="3"/>
          </w:tcPr>
          <w:p>
            <w:pPr>
              <w:pStyle w:val="93"/>
              <w:spacing w:after="0"/>
              <w:rPr>
                <w:sz w:val="8"/>
                <w:szCs w:val="8"/>
              </w:rPr>
            </w:pPr>
          </w:p>
        </w:tc>
        <w:tc>
          <w:tcPr>
            <w:tcW w:w="2127" w:type="dxa"/>
            <w:tcBorders>
              <w:right w:val="single" w:color="auto" w:sz="4" w:space="0"/>
            </w:tcBorders>
          </w:tcPr>
          <w:p>
            <w:pPr>
              <w:pStyle w:val="93"/>
              <w:spacing w:after="0"/>
              <w:rPr>
                <w:sz w:val="8"/>
                <w:szCs w:val="8"/>
              </w:rPr>
            </w:pPr>
          </w:p>
        </w:tc>
      </w:tr>
      <w:tr>
        <w:trPr>
          <w:cantSplit/>
        </w:trPr>
        <w:tc>
          <w:tcPr>
            <w:tcW w:w="1843" w:type="dxa"/>
            <w:tcBorders>
              <w:left w:val="single" w:color="auto" w:sz="4" w:space="0"/>
            </w:tcBorders>
            <w:shd w:val="clear" w:color="auto" w:fill="auto"/>
          </w:tcPr>
          <w:p>
            <w:pPr>
              <w:pStyle w:val="93"/>
              <w:tabs>
                <w:tab w:val="right" w:pos="1759"/>
              </w:tabs>
              <w:spacing w:after="0"/>
              <w:rPr>
                <w:b/>
                <w:i/>
              </w:rPr>
            </w:pPr>
            <w:r>
              <w:rPr>
                <w:b/>
                <w:i/>
              </w:rPr>
              <w:t>Category:</w:t>
            </w:r>
          </w:p>
        </w:tc>
        <w:tc>
          <w:tcPr>
            <w:tcW w:w="851" w:type="dxa"/>
            <w:shd w:val="pct30" w:color="FFFF00" w:fill="auto"/>
          </w:tcPr>
          <w:p>
            <w:pPr>
              <w:pStyle w:val="93"/>
              <w:spacing w:after="0"/>
              <w:ind w:right="-609"/>
              <w:rPr>
                <w:b/>
              </w:rPr>
            </w:pPr>
            <w:r>
              <w:rPr>
                <w:b/>
              </w:rPr>
              <w:t xml:space="preserve"> F</w:t>
            </w:r>
          </w:p>
        </w:tc>
        <w:tc>
          <w:tcPr>
            <w:tcW w:w="3402" w:type="dxa"/>
            <w:gridSpan w:val="5"/>
            <w:tcBorders>
              <w:left w:val="nil"/>
            </w:tcBorders>
            <w:shd w:val="clear" w:color="auto" w:fill="auto"/>
          </w:tcPr>
          <w:p>
            <w:pPr>
              <w:pStyle w:val="93"/>
              <w:spacing w:after="0"/>
            </w:pPr>
          </w:p>
        </w:tc>
        <w:tc>
          <w:tcPr>
            <w:tcW w:w="1417" w:type="dxa"/>
            <w:gridSpan w:val="3"/>
            <w:tcBorders>
              <w:left w:val="nil"/>
            </w:tcBorders>
            <w:shd w:val="clear" w:color="auto" w:fill="auto"/>
          </w:tcPr>
          <w:p>
            <w:pPr>
              <w:pStyle w:val="93"/>
              <w:spacing w:after="0"/>
              <w:jc w:val="right"/>
              <w:rPr>
                <w:b/>
                <w:i/>
              </w:rPr>
            </w:pPr>
            <w:r>
              <w:rPr>
                <w:b/>
                <w:i/>
              </w:rPr>
              <w:t>Release:</w:t>
            </w:r>
          </w:p>
        </w:tc>
        <w:tc>
          <w:tcPr>
            <w:tcW w:w="2127" w:type="dxa"/>
            <w:tcBorders>
              <w:right w:val="single" w:color="auto" w:sz="4" w:space="0"/>
            </w:tcBorders>
            <w:shd w:val="pct30" w:color="FFFF00" w:fill="auto"/>
          </w:tcPr>
          <w:p>
            <w:pPr>
              <w:pStyle w:val="93"/>
              <w:spacing w:after="0"/>
              <w:ind w:left="100"/>
              <w:rPr>
                <w:rFonts w:eastAsia="宋体"/>
                <w:lang w:val="en-US" w:eastAsia="zh-CN"/>
              </w:rPr>
            </w:pPr>
            <w:r>
              <w:fldChar w:fldCharType="begin"/>
            </w:r>
            <w:r>
              <w:instrText xml:space="preserve"> DOCPROPERTY  Release  \* MERGEFORMAT </w:instrText>
            </w:r>
            <w:r>
              <w:fldChar w:fldCharType="end"/>
            </w: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3"/>
              <w:spacing w:after="0"/>
              <w:rPr>
                <w:b/>
                <w:i/>
              </w:rPr>
            </w:pPr>
          </w:p>
        </w:tc>
        <w:tc>
          <w:tcPr>
            <w:tcW w:w="4677" w:type="dxa"/>
            <w:gridSpan w:val="8"/>
            <w:tcBorders>
              <w:bottom w:val="single" w:color="auto" w:sz="4" w:space="0"/>
            </w:tcBorders>
          </w:tcPr>
          <w:p>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3"/>
              <w:spacing w:after="0"/>
              <w:rPr>
                <w:b/>
                <w:i/>
                <w:sz w:val="8"/>
                <w:szCs w:val="8"/>
              </w:rPr>
            </w:pPr>
          </w:p>
        </w:tc>
        <w:tc>
          <w:tcPr>
            <w:tcW w:w="7797" w:type="dxa"/>
            <w:gridSpan w:val="10"/>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bidi w:val="0"/>
              <w:rPr>
                <w:rFonts w:hint="eastAsia"/>
                <w:lang w:val="en-US" w:eastAsia="zh-CN"/>
              </w:rPr>
            </w:pPr>
            <w:r>
              <w:rPr>
                <w:rFonts w:hint="eastAsia"/>
                <w:lang w:val="en-US" w:eastAsia="zh-CN"/>
              </w:rPr>
              <w:t xml:space="preserve">During RAN2#123 meeting, the </w:t>
            </w:r>
            <w:r>
              <w:t>use of SRI in IAB MAC CEs</w:t>
            </w:r>
            <w:r>
              <w:rPr>
                <w:rFonts w:hint="eastAsia"/>
                <w:lang w:val="en-US" w:eastAsia="zh-CN"/>
              </w:rPr>
              <w:t xml:space="preserve"> was discussed and the corresponding CR(</w:t>
            </w:r>
            <w:r>
              <w:rPr>
                <w:rFonts w:hint="eastAsia"/>
                <w:lang w:val="en-US" w:eastAsia="zh-CN"/>
              </w:rPr>
              <w:fldChar w:fldCharType="begin"/>
            </w:r>
            <w:r>
              <w:rPr>
                <w:rFonts w:hint="eastAsia"/>
                <w:lang w:val="en-US" w:eastAsia="zh-CN"/>
              </w:rPr>
              <w:instrText xml:space="preserve"> HYPERLINK "file:///C:\\Users\\panidx\\OneDrive%20-%20InterDigital%20Communications,%20Inc\\Documents\\3GPP%20RAN\\TSGR2_123\\Docs\\R2-2307983.zip" </w:instrText>
            </w:r>
            <w:r>
              <w:rPr>
                <w:rFonts w:hint="eastAsia"/>
                <w:lang w:val="en-US" w:eastAsia="zh-CN"/>
              </w:rPr>
              <w:fldChar w:fldCharType="separate"/>
            </w:r>
            <w:r>
              <w:rPr>
                <w:rFonts w:hint="eastAsia"/>
                <w:lang w:val="en-US" w:eastAsia="zh-CN"/>
              </w:rPr>
              <w:t>R2-2307983</w:t>
            </w:r>
            <w:r>
              <w:rPr>
                <w:rFonts w:hint="eastAsia"/>
                <w:lang w:val="en-US" w:eastAsia="zh-CN"/>
              </w:rPr>
              <w:fldChar w:fldCharType="end"/>
            </w:r>
            <w:r>
              <w:rPr>
                <w:rFonts w:hint="eastAsia"/>
                <w:lang w:val="en-US" w:eastAsia="zh-CN"/>
              </w:rPr>
              <w:t xml:space="preserve">) has been agreed. Specifically, it is clarified that SRI refers to </w:t>
            </w:r>
            <w:r>
              <w:rPr>
                <w:lang w:eastAsia="ko-KR"/>
              </w:rPr>
              <w:t>SRS Resource Indicator</w:t>
            </w:r>
            <w:r>
              <w:rPr>
                <w:rFonts w:hint="eastAsia"/>
                <w:lang w:val="en-US" w:eastAsia="zh-CN"/>
              </w:rPr>
              <w:t xml:space="preserve"> in the </w:t>
            </w:r>
            <w:r>
              <w:t>Abbreviations</w:t>
            </w:r>
            <w:r>
              <w:rPr>
                <w:rFonts w:hint="eastAsia"/>
                <w:lang w:val="en-US" w:eastAsia="zh-CN"/>
              </w:rPr>
              <w:t xml:space="preserve"> section. And it is clarified that 4 bits SRI </w:t>
            </w:r>
            <w:r>
              <w:t>refer</w:t>
            </w:r>
            <w:r>
              <w:rPr>
                <w:rFonts w:hint="eastAsia"/>
                <w:lang w:val="en-US" w:eastAsia="zh-CN"/>
              </w:rPr>
              <w:t>s</w:t>
            </w:r>
            <w:r>
              <w:t xml:space="preserve"> to an </w:t>
            </w:r>
            <w:r>
              <w:rPr>
                <w:i/>
                <w:iCs/>
              </w:rPr>
              <w:t>SRS-ResourceID</w:t>
            </w:r>
            <w:r>
              <w:rPr>
                <w:rFonts w:hint="eastAsia"/>
                <w:lang w:val="en-US" w:eastAsia="zh-CN"/>
              </w:rPr>
              <w:t xml:space="preserve"> in the corresponding IAB MAC CEs. However, there are still some issues need to be further discussed. </w:t>
            </w:r>
          </w:p>
          <w:p>
            <w:pPr>
              <w:bidi w:val="0"/>
              <w:rPr>
                <w:rFonts w:hint="default" w:ascii="Times New Roman" w:hAnsi="Times New Roman" w:eastAsia="宋体" w:cs="Times New Roman"/>
                <w:i w:val="0"/>
                <w:iCs w:val="0"/>
                <w:lang w:val="en-US" w:eastAsia="zh-CN"/>
              </w:rPr>
            </w:pPr>
            <w:r>
              <w:rPr>
                <w:rFonts w:hint="eastAsia"/>
                <w:color w:val="auto"/>
                <w:lang w:val="en-US" w:eastAsia="zh-CN"/>
              </w:rPr>
              <w:t xml:space="preserve">As we know, </w:t>
            </w:r>
            <w:r>
              <w:rPr>
                <w:i/>
                <w:iCs/>
              </w:rPr>
              <w:t>SRS-ResourceID</w:t>
            </w:r>
            <w:r>
              <w:rPr>
                <w:rFonts w:hint="eastAsia" w:eastAsia="宋体"/>
                <w:i/>
                <w:iCs/>
                <w:lang w:val="en-US" w:eastAsia="zh-CN"/>
              </w:rPr>
              <w:t xml:space="preserve"> </w:t>
            </w:r>
            <w:r>
              <w:rPr>
                <w:rFonts w:hint="eastAsia" w:eastAsia="宋体"/>
                <w:i w:val="0"/>
                <w:iCs w:val="0"/>
                <w:lang w:val="en-US" w:eastAsia="zh-CN"/>
              </w:rPr>
              <w:t>is defined in 38.331 and the</w:t>
            </w:r>
            <w:r>
              <w:rPr>
                <w:rFonts w:hint="eastAsia" w:ascii="Times New Roman" w:hAnsi="Times New Roman" w:eastAsia="宋体" w:cs="Times New Roman"/>
                <w:i w:val="0"/>
                <w:iCs w:val="0"/>
                <w:lang w:val="en-US" w:eastAsia="zh-CN"/>
              </w:rPr>
              <w:t xml:space="preserve"> maximum number of SRS resources configured via RRC is 64. And a list of SRS resource sets can be configured via RRC wherein each resource set can define a set of SRS-Resources. The maximum number of SRS resources in an SRS resource set is 16. So it is not clear how could 4 bits SRI map to an </w:t>
            </w:r>
            <w:r>
              <w:rPr>
                <w:rFonts w:hint="eastAsia" w:ascii="Times New Roman" w:hAnsi="Times New Roman" w:eastAsia="Times New Roman" w:cs="Times New Roman"/>
                <w:i/>
                <w:iCs/>
                <w:lang w:val="en-US" w:eastAsia="zh-CN"/>
              </w:rPr>
              <w:t>S</w:t>
            </w:r>
            <w:r>
              <w:rPr>
                <w:rFonts w:ascii="Times New Roman" w:hAnsi="Times New Roman" w:eastAsia="Times New Roman" w:cs="Times New Roman"/>
                <w:i/>
                <w:iCs/>
              </w:rPr>
              <w:t>R</w:t>
            </w:r>
            <w:r>
              <w:rPr>
                <w:i/>
                <w:iCs/>
              </w:rPr>
              <w:t>S-ResourceID</w:t>
            </w:r>
            <w:r>
              <w:rPr>
                <w:rFonts w:hint="eastAsia" w:eastAsia="宋体"/>
                <w:i/>
                <w:iCs/>
                <w:lang w:val="en-US" w:eastAsia="zh-CN"/>
              </w:rPr>
              <w:t xml:space="preserve"> </w:t>
            </w:r>
            <w:r>
              <w:rPr>
                <w:rFonts w:hint="eastAsia" w:ascii="Times New Roman" w:hAnsi="Times New Roman" w:eastAsia="宋体" w:cs="Times New Roman"/>
                <w:i w:val="0"/>
                <w:iCs w:val="0"/>
                <w:lang w:val="en-US" w:eastAsia="zh-CN"/>
              </w:rPr>
              <w:t>which has 64 values at most. Furthermore, there is restriction on SRS resource configuration if only 16 SRS resources out of the whole 64 SRS resources can be used to indicate the MT beam in the IAB MAC CEs, while RAN1 has never have conclusion on such restriction. So we think the current description on SRI in IAB MAC CEs is not clear and the restriction on the SRI usage is unnecessary and unreasonable. Some company may a</w:t>
            </w:r>
            <w:r>
              <w:rPr>
                <w:rFonts w:hint="eastAsia" w:eastAsia="宋体" w:cs="Times New Roman"/>
                <w:i w:val="0"/>
                <w:iCs w:val="0"/>
                <w:lang w:val="en-US" w:eastAsia="zh-CN"/>
              </w:rPr>
              <w:t>r</w:t>
            </w:r>
            <w:r>
              <w:rPr>
                <w:rFonts w:hint="eastAsia" w:ascii="Times New Roman" w:hAnsi="Times New Roman" w:eastAsia="宋体" w:cs="Times New Roman"/>
                <w:i w:val="0"/>
                <w:iCs w:val="0"/>
                <w:lang w:val="en-US" w:eastAsia="zh-CN"/>
              </w:rPr>
              <w:t>gue that similar issue exists in NCR and we just follow the way taken by NCR. However, we think this issue can be discussed separately in IAB and we prefer to make it clearer and more future proof. Considerin</w:t>
            </w:r>
            <w:r>
              <w:rPr>
                <w:rFonts w:hint="eastAsia" w:eastAsia="宋体" w:cs="Times New Roman"/>
                <w:i w:val="0"/>
                <w:iCs w:val="0"/>
                <w:lang w:val="en-US" w:eastAsia="zh-CN"/>
              </w:rPr>
              <w:t>g</w:t>
            </w:r>
            <w:r>
              <w:rPr>
                <w:rFonts w:hint="eastAsia" w:ascii="Times New Roman" w:hAnsi="Times New Roman" w:eastAsia="宋体" w:cs="Times New Roman"/>
                <w:i w:val="0"/>
                <w:iCs w:val="0"/>
                <w:lang w:val="en-US" w:eastAsia="zh-CN"/>
              </w:rPr>
              <w:t xml:space="preserve"> that these IAB MAC CEs will be also applied to R18 mobile IAB, more MT beams may need to be indicated using SRI field in IAB MAC CEs along with the movement of the mobile IAB-MT.</w:t>
            </w:r>
          </w:p>
          <w:p>
            <w:pPr>
              <w:bidi w:val="0"/>
              <w:rPr>
                <w:rFonts w:hint="eastAsia" w:eastAsia="宋体"/>
                <w:color w:val="auto"/>
                <w:lang w:val="en-US" w:eastAsia="zh-CN"/>
              </w:rPr>
            </w:pPr>
            <w:r>
              <w:rPr>
                <w:rFonts w:hint="eastAsia" w:eastAsia="宋体"/>
                <w:b w:val="0"/>
                <w:i w:val="0"/>
                <w:iCs w:val="0"/>
                <w:color w:val="auto"/>
                <w:lang w:val="en-US" w:eastAsia="zh-CN"/>
              </w:rPr>
              <w:t xml:space="preserve">On the other hand, </w:t>
            </w:r>
            <w:r>
              <w:rPr>
                <w:b w:val="0"/>
                <w:i/>
                <w:iCs/>
                <w:color w:val="auto"/>
              </w:rPr>
              <w:t>SRS-ResourceId</w:t>
            </w:r>
            <w:r>
              <w:rPr>
                <w:rFonts w:hint="eastAsia" w:eastAsia="宋体"/>
                <w:b w:val="0"/>
                <w:i w:val="0"/>
                <w:iCs w:val="0"/>
                <w:color w:val="auto"/>
                <w:lang w:val="en-US" w:eastAsia="zh-CN"/>
              </w:rPr>
              <w:t xml:space="preserve"> is also used in other MAC CEs, i.e. </w:t>
            </w:r>
            <w:r>
              <w:rPr>
                <w:b w:val="0"/>
                <w:i w:val="0"/>
                <w:iCs w:val="0"/>
                <w:color w:val="auto"/>
              </w:rPr>
              <w:t>SP SRS Activation/Deactivation MAC CE and Enhanced SP/AP SRS Spati</w:t>
            </w:r>
            <w:r>
              <w:rPr>
                <w:b w:val="0"/>
                <w:color w:val="auto"/>
              </w:rPr>
              <w:t>al Relation Indication MAC CE</w:t>
            </w:r>
            <w:r>
              <w:rPr>
                <w:rFonts w:hint="eastAsia" w:eastAsia="宋体"/>
                <w:b w:val="0"/>
                <w:color w:val="auto"/>
                <w:lang w:val="en-US" w:eastAsia="zh-CN"/>
              </w:rPr>
              <w:t xml:space="preserve">, wherein 6bis in </w:t>
            </w:r>
            <w:r>
              <w:rPr>
                <w:color w:val="auto"/>
              </w:rPr>
              <w:t>Resource ID</w:t>
            </w:r>
            <w:r>
              <w:rPr>
                <w:rFonts w:hint="eastAsia" w:eastAsia="宋体"/>
                <w:color w:val="auto"/>
                <w:lang w:val="en-US" w:eastAsia="zh-CN"/>
              </w:rPr>
              <w:t xml:space="preserve"> field </w:t>
            </w:r>
            <w:r>
              <w:rPr>
                <w:color w:val="auto"/>
              </w:rPr>
              <w:t xml:space="preserve">contains </w:t>
            </w:r>
            <w:r>
              <w:rPr>
                <w:i/>
                <w:color w:val="auto"/>
              </w:rPr>
              <w:t>SRS-ResourceId</w:t>
            </w:r>
            <w:r>
              <w:rPr>
                <w:color w:val="auto"/>
              </w:rPr>
              <w:t xml:space="preserve"> as specified in TS 38.331</w:t>
            </w:r>
            <w:r>
              <w:rPr>
                <w:rFonts w:hint="eastAsia" w:eastAsia="宋体"/>
                <w:color w:val="auto"/>
                <w:lang w:val="en-US" w:eastAsia="zh-CN"/>
              </w:rPr>
              <w:t xml:space="preserve">. </w:t>
            </w:r>
          </w:p>
          <w:p>
            <w:pPr>
              <w:bidi w:val="0"/>
              <w:rPr>
                <w:rFonts w:hint="default"/>
                <w:lang w:val="en-US" w:eastAsia="zh-CN"/>
              </w:rPr>
            </w:pPr>
            <w:r>
              <w:rPr>
                <w:rFonts w:hint="eastAsia"/>
                <w:color w:val="auto"/>
                <w:lang w:val="en-US" w:eastAsia="zh-CN"/>
              </w:rPr>
              <w:t xml:space="preserve">Besides, SRI is specified and used in RAN1 spec as well. In 38.213, it is defined that SRI refers to </w:t>
            </w:r>
            <w:r>
              <w:rPr>
                <w:rFonts w:hint="eastAsia"/>
                <w:color w:val="auto"/>
                <w:lang w:eastAsia="zh-CN"/>
              </w:rPr>
              <w:t>SRS resource indicator</w:t>
            </w:r>
            <w:r>
              <w:rPr>
                <w:rFonts w:hint="eastAsia"/>
                <w:color w:val="auto"/>
                <w:lang w:val="en-US" w:eastAsia="zh-CN"/>
              </w:rPr>
              <w:t xml:space="preserve"> in t</w:t>
            </w:r>
            <w:r>
              <w:rPr>
                <w:rFonts w:hint="eastAsia"/>
                <w:lang w:val="en-US" w:eastAsia="zh-CN"/>
              </w:rPr>
              <w:t xml:space="preserve">he </w:t>
            </w:r>
            <w:r>
              <w:t>Abbreviations</w:t>
            </w:r>
            <w:r>
              <w:rPr>
                <w:rFonts w:hint="eastAsia"/>
                <w:lang w:val="en-US" w:eastAsia="zh-CN"/>
              </w:rPr>
              <w:t xml:space="preserve"> section, which is the same as in the MAC spec. However, SRI in RAN1 spec has a different definition from MAC spec. The SRI in RAN1 spec indicates one or multiple SRS resources in a specific SRS resource set indicated by the </w:t>
            </w:r>
            <w:r>
              <w:rPr>
                <w:lang w:eastAsia="zh-CN"/>
              </w:rPr>
              <w:t>SRS resource set indicator</w:t>
            </w:r>
            <w:r>
              <w:rPr>
                <w:rFonts w:hint="eastAsia"/>
                <w:lang w:val="en-US" w:eastAsia="zh-CN"/>
              </w:rPr>
              <w:t xml:space="preserve">, as specified in 38.212 section </w:t>
            </w:r>
            <w:r>
              <w:rPr>
                <w:rFonts w:hint="eastAsia"/>
                <w:lang w:eastAsia="zh-CN"/>
              </w:rPr>
              <w:t>7.3.1.1.2</w:t>
            </w:r>
            <w:r>
              <w:rPr>
                <w:rFonts w:hint="eastAsia"/>
                <w:lang w:val="en-US" w:eastAsia="zh-CN"/>
              </w:rPr>
              <w:t xml:space="preserve">. So the SRI in RAN1 spec refers to one or multiple SRS resource index in the a SRS resource set rather than a SRS resource ID among the whole 64 RRC configured SRS resources. There is misalignment between RAN1 and RAN2 specs on the SRI while the same abbreviation for SRI is used. </w:t>
            </w:r>
          </w:p>
          <w:p>
            <w:pPr>
              <w:bidi w:val="0"/>
              <w:rPr>
                <w:rFonts w:hint="eastAsia" w:eastAsia="宋体"/>
                <w:color w:val="auto"/>
                <w:lang w:val="en-US" w:eastAsia="zh-CN"/>
              </w:rPr>
            </w:pPr>
            <w:r>
              <w:rPr>
                <w:rFonts w:hint="eastAsia" w:eastAsia="宋体"/>
                <w:color w:val="auto"/>
                <w:lang w:val="en-US" w:eastAsia="zh-CN"/>
              </w:rPr>
              <w:t>As analyzed above, the following two options could be considered to address the issue:</w:t>
            </w:r>
          </w:p>
          <w:p>
            <w:pPr>
              <w:numPr>
                <w:ilvl w:val="0"/>
                <w:numId w:val="2"/>
              </w:numPr>
              <w:ind w:left="420" w:leftChars="0" w:hanging="420" w:firstLineChars="0"/>
              <w:rPr>
                <w:rFonts w:hint="default" w:eastAsia="宋体"/>
                <w:lang w:val="en-US" w:eastAsia="zh-CN"/>
              </w:rPr>
            </w:pPr>
            <w:r>
              <w:rPr>
                <w:rFonts w:hint="eastAsia"/>
                <w:lang w:val="en-US" w:eastAsia="zh-CN"/>
              </w:rPr>
              <w:t xml:space="preserve">Option 1: Correct </w:t>
            </w:r>
            <w:r>
              <w:t>the SRI</w:t>
            </w:r>
            <w:r>
              <w:rPr>
                <w:rFonts w:hint="eastAsia"/>
                <w:lang w:val="en-US" w:eastAsia="zh-CN"/>
              </w:rPr>
              <w:t xml:space="preserve"> in the IAB MAC CEs to have 6 bits instead of 4bits, which is aligned with other MAC CEs in 38.321.</w:t>
            </w:r>
          </w:p>
          <w:p>
            <w:pPr>
              <w:numPr>
                <w:ilvl w:val="0"/>
                <w:numId w:val="2"/>
              </w:numPr>
              <w:ind w:left="420" w:leftChars="0" w:hanging="420" w:firstLineChars="0"/>
              <w:rPr>
                <w:rFonts w:hint="eastAsia"/>
                <w:lang w:val="en-US" w:eastAsia="zh-CN"/>
              </w:rPr>
            </w:pPr>
            <w:r>
              <w:rPr>
                <w:rFonts w:hint="eastAsia"/>
                <w:lang w:val="en-US" w:eastAsia="zh-CN"/>
              </w:rPr>
              <w:t xml:space="preserve">Option 2: Another X bit(s) in the </w:t>
            </w:r>
            <w:r>
              <w:t>IAB-MT Resource set ID field</w:t>
            </w:r>
            <w:r>
              <w:rPr>
                <w:rFonts w:hint="eastAsia" w:eastAsia="宋体"/>
                <w:lang w:val="en-US" w:eastAsia="zh-CN"/>
              </w:rPr>
              <w:t xml:space="preserve"> </w:t>
            </w:r>
            <w:r>
              <w:rPr>
                <w:rFonts w:hint="eastAsia"/>
                <w:lang w:val="en-US" w:eastAsia="zh-CN"/>
              </w:rPr>
              <w:t>is used to indicate the SRS resource set, which is aligned with RAN1 spec.</w:t>
            </w:r>
          </w:p>
          <w:p>
            <w:pPr>
              <w:bidi w:val="0"/>
              <w:rPr>
                <w:rFonts w:hint="default"/>
                <w:lang w:val="en-US" w:eastAsia="zh-CN"/>
              </w:rPr>
            </w:pPr>
            <w:r>
              <w:rPr>
                <w:rFonts w:hint="eastAsia" w:eastAsia="宋体"/>
                <w:color w:val="auto"/>
                <w:lang w:val="en-US" w:eastAsia="zh-CN"/>
              </w:rPr>
              <w:t xml:space="preserve">In option 2, if another x bits is used to indicate the </w:t>
            </w:r>
            <w:r>
              <w:rPr>
                <w:rFonts w:hint="eastAsia"/>
                <w:lang w:val="en-US" w:eastAsia="zh-CN"/>
              </w:rPr>
              <w:t xml:space="preserve">SRS resource set, then the SRI shall refer to an index in a specific SRS resource set rather than the </w:t>
            </w:r>
            <w:r>
              <w:rPr>
                <w:b w:val="0"/>
                <w:i/>
                <w:iCs/>
                <w:color w:val="auto"/>
              </w:rPr>
              <w:t>SRS-ResourceId</w:t>
            </w:r>
            <w:r>
              <w:rPr>
                <w:rFonts w:hint="eastAsia" w:eastAsia="宋体"/>
                <w:b w:val="0"/>
                <w:i/>
                <w:iCs/>
                <w:color w:val="auto"/>
                <w:lang w:val="en-US" w:eastAsia="zh-CN"/>
              </w:rPr>
              <w:t xml:space="preserve"> </w:t>
            </w:r>
            <w:r>
              <w:rPr>
                <w:rFonts w:hint="eastAsia"/>
                <w:lang w:val="en-US" w:eastAsia="zh-CN"/>
              </w:rPr>
              <w:t xml:space="preserve">configured via RRC. Considering that option 1 </w:t>
            </w:r>
            <w:r>
              <w:rPr>
                <w:rFonts w:hint="eastAsia" w:eastAsia="宋体"/>
                <w:color w:val="auto"/>
                <w:lang w:val="en-US" w:eastAsia="zh-CN"/>
              </w:rPr>
              <w:t xml:space="preserve">is much more simpler and has less spec impact, it is suggest to adopt option 1 to address this issue.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numPr>
                <w:ilvl w:val="-1"/>
                <w:numId w:val="0"/>
              </w:numPr>
              <w:spacing w:after="0"/>
              <w:ind w:left="0" w:firstLine="0"/>
              <w:rPr>
                <w:rFonts w:hint="eastAsia"/>
                <w:lang w:val="en-US" w:eastAsia="zh-CN"/>
              </w:rPr>
            </w:pPr>
            <w:r>
              <w:rPr>
                <w:rFonts w:hint="default"/>
                <w:lang w:val="en-US"/>
              </w:rPr>
              <w:t>Clarify that </w:t>
            </w:r>
            <w:r>
              <w:rPr>
                <w:rFonts w:hint="default"/>
              </w:rPr>
              <w:t>the information included in the</w:t>
            </w:r>
            <w:r>
              <w:rPr>
                <w:rFonts w:hint="default"/>
                <w:lang w:val="en-US"/>
              </w:rPr>
              <w:t> 6 rightmost bits of the </w:t>
            </w:r>
            <w:r>
              <w:rPr>
                <w:rFonts w:hint="default"/>
              </w:rPr>
              <w:t>IAB-MT Resource set IDij field is the SRS-ResourceID and remove any reference to SRI in affected sections</w:t>
            </w:r>
            <w:r>
              <w:rPr>
                <w:rFonts w:hint="eastAsia"/>
                <w:lang w:val="en-US" w:eastAsia="zh-CN"/>
              </w:rPr>
              <w:t>.</w:t>
            </w:r>
          </w:p>
          <w:p>
            <w:pPr>
              <w:numPr>
                <w:ilvl w:val="-1"/>
                <w:numId w:val="0"/>
              </w:numPr>
              <w:spacing w:before="0" w:after="120" w:afterLines="-2147483648"/>
              <w:ind w:left="0" w:firstLine="0"/>
              <w:rPr>
                <w:rFonts w:ascii="Arial" w:hAnsi="Arial"/>
                <w:b/>
                <w:lang w:eastAsia="zh-CN"/>
              </w:rPr>
            </w:pPr>
          </w:p>
          <w:p>
            <w:pPr>
              <w:numPr>
                <w:ilvl w:val="-1"/>
                <w:numId w:val="0"/>
              </w:numPr>
              <w:spacing w:before="0" w:after="120" w:afterLines="-2147483648"/>
              <w:ind w:left="0" w:firstLine="0"/>
              <w:rPr>
                <w:rFonts w:ascii="Arial" w:hAnsi="Arial" w:cs="Arial"/>
                <w:b/>
              </w:rPr>
            </w:pPr>
            <w:r>
              <w:rPr>
                <w:rFonts w:ascii="Arial" w:hAnsi="Arial"/>
                <w:b/>
                <w:lang w:eastAsia="zh-CN"/>
              </w:rPr>
              <w:t>I</w:t>
            </w:r>
            <w:r>
              <w:rPr>
                <w:rFonts w:hint="eastAsia" w:ascii="Arial" w:hAnsi="Arial"/>
                <w:b/>
                <w:lang w:eastAsia="zh-CN"/>
              </w:rPr>
              <w:t xml:space="preserve">mpact </w:t>
            </w:r>
            <w:r>
              <w:rPr>
                <w:rFonts w:hint="eastAsia" w:ascii="Arial" w:hAnsi="Arial" w:cs="Arial"/>
                <w:b/>
              </w:rPr>
              <w:t>analysis</w:t>
            </w:r>
          </w:p>
          <w:p>
            <w:pPr>
              <w:numPr>
                <w:ilvl w:val="-1"/>
                <w:numId w:val="0"/>
              </w:numPr>
              <w:spacing w:before="0" w:after="120" w:afterLines="-2147483648" w:line="240" w:lineRule="auto"/>
              <w:ind w:left="0" w:firstLine="0"/>
              <w:rPr>
                <w:rFonts w:ascii="Arial" w:hAnsi="Arial" w:cs="Arial"/>
                <w:u w:val="single"/>
              </w:rPr>
            </w:pPr>
            <w:r>
              <w:rPr>
                <w:rFonts w:ascii="Arial" w:hAnsi="Arial" w:cs="Arial"/>
                <w:u w:val="single"/>
              </w:rPr>
              <w:t>I</w:t>
            </w:r>
            <w:r>
              <w:rPr>
                <w:rFonts w:hint="default" w:ascii="Arial" w:hAnsi="Arial" w:cs="Arial"/>
                <w:u w:val="single"/>
              </w:rPr>
              <w:t>mpacted functionality:</w:t>
            </w:r>
          </w:p>
          <w:p>
            <w:pPr>
              <w:numPr>
                <w:ilvl w:val="-1"/>
                <w:numId w:val="0"/>
              </w:numPr>
              <w:spacing w:after="120" w:line="240" w:lineRule="auto"/>
              <w:ind w:left="0" w:firstLine="0"/>
            </w:pPr>
            <w:r>
              <w:t>Child IAB-DU Restricted Beam Indication MAC CE</w:t>
            </w:r>
          </w:p>
          <w:p>
            <w:pPr>
              <w:numPr>
                <w:ilvl w:val="-1"/>
                <w:numId w:val="0"/>
              </w:numPr>
              <w:spacing w:after="120" w:line="240" w:lineRule="auto"/>
              <w:ind w:left="0" w:firstLine="0"/>
              <w:rPr>
                <w:rFonts w:ascii="Times New Roman" w:hAnsi="Times New Roman" w:eastAsia="Times New Roman" w:cs="Times New Roman"/>
              </w:rPr>
            </w:pPr>
            <w:bookmarkStart w:id="3" w:name="_Toc139032446"/>
            <w:r>
              <w:rPr>
                <w:rFonts w:ascii="Times New Roman" w:hAnsi="Times New Roman" w:eastAsia="Times New Roman" w:cs="Times New Roman"/>
              </w:rPr>
              <w:t>IAB-MT Recommended Beam Indication MAC CE</w:t>
            </w:r>
            <w:bookmarkEnd w:id="3"/>
          </w:p>
          <w:p>
            <w:pPr>
              <w:numPr>
                <w:ilvl w:val="-1"/>
                <w:numId w:val="0"/>
              </w:numPr>
              <w:spacing w:after="120" w:line="240" w:lineRule="auto"/>
              <w:ind w:left="0" w:firstLine="0"/>
              <w:rPr>
                <w:lang w:eastAsia="zh-CN"/>
              </w:rPr>
            </w:pPr>
          </w:p>
          <w:p>
            <w:pPr>
              <w:numPr>
                <w:ilvl w:val="-1"/>
                <w:numId w:val="0"/>
              </w:numPr>
              <w:spacing w:before="20" w:after="120"/>
              <w:ind w:left="0" w:firstLine="0"/>
              <w:rPr>
                <w:rFonts w:ascii="Arial" w:hAnsi="Arial" w:cs="Arial"/>
                <w:lang w:eastAsia="zh-CN"/>
              </w:rPr>
            </w:pPr>
            <w:r>
              <w:rPr>
                <w:rFonts w:ascii="Arial" w:hAnsi="Arial" w:cs="Arial"/>
                <w:u w:val="single"/>
              </w:rPr>
              <w:t>Inter-operability:</w:t>
            </w:r>
          </w:p>
          <w:p>
            <w:pPr>
              <w:numPr>
                <w:ilvl w:val="0"/>
                <w:numId w:val="3"/>
              </w:numPr>
              <w:spacing w:after="120"/>
              <w:rPr>
                <w:rFonts w:ascii="Arial" w:hAnsi="Arial" w:eastAsia="宋体" w:cs="Arial"/>
                <w:lang w:val="en-US" w:eastAsia="zh-CN"/>
              </w:rPr>
            </w:pPr>
            <w:r>
              <w:rPr>
                <w:rFonts w:hint="default" w:ascii="Arial" w:hAnsi="Arial" w:eastAsia="宋体" w:cs="Arial"/>
                <w:lang w:eastAsia="zh-CN"/>
              </w:rPr>
              <w:t xml:space="preserve">If the </w:t>
            </w:r>
            <w:r>
              <w:rPr>
                <w:rFonts w:ascii="Arial" w:hAnsi="Arial" w:eastAsia="宋体" w:cs="Arial"/>
                <w:lang w:eastAsia="zh-CN"/>
              </w:rPr>
              <w:t xml:space="preserve">network </w:t>
            </w:r>
            <w:r>
              <w:rPr>
                <w:rFonts w:hint="default" w:ascii="Arial" w:hAnsi="Arial" w:eastAsia="宋体" w:cs="Arial"/>
                <w:lang w:eastAsia="zh-CN"/>
              </w:rPr>
              <w:t>implement</w:t>
            </w:r>
            <w:r>
              <w:rPr>
                <w:rFonts w:ascii="Arial" w:hAnsi="Arial" w:eastAsia="宋体" w:cs="Arial"/>
                <w:lang w:eastAsia="zh-CN"/>
              </w:rPr>
              <w:t>s</w:t>
            </w:r>
            <w:r>
              <w:rPr>
                <w:rFonts w:hint="default" w:ascii="Arial" w:hAnsi="Arial" w:eastAsia="宋体" w:cs="Arial"/>
                <w:lang w:eastAsia="zh-CN"/>
              </w:rPr>
              <w:t xml:space="preserve"> according to this CR but the </w:t>
            </w:r>
            <w:r>
              <w:rPr>
                <w:rFonts w:ascii="Arial" w:hAnsi="Arial" w:eastAsia="宋体" w:cs="Arial"/>
                <w:lang w:eastAsia="zh-CN"/>
              </w:rPr>
              <w:t>IAB-MT</w:t>
            </w:r>
            <w:r>
              <w:rPr>
                <w:rFonts w:hint="default" w:ascii="Arial" w:hAnsi="Arial" w:eastAsia="宋体" w:cs="Arial"/>
                <w:lang w:eastAsia="zh-CN"/>
              </w:rPr>
              <w:t xml:space="preserve"> not</w:t>
            </w:r>
            <w:r>
              <w:rPr>
                <w:rFonts w:ascii="Arial" w:hAnsi="Arial" w:eastAsia="宋体" w:cs="Arial"/>
                <w:lang w:eastAsia="zh-CN"/>
              </w:rPr>
              <w:t>, there is no inter-operability issue.</w:t>
            </w:r>
          </w:p>
          <w:p>
            <w:pPr>
              <w:numPr>
                <w:ilvl w:val="0"/>
                <w:numId w:val="3"/>
              </w:numPr>
              <w:spacing w:after="120"/>
              <w:rPr>
                <w:rFonts w:eastAsia="宋体"/>
                <w:lang w:val="en-US" w:eastAsia="zh-CN"/>
              </w:rPr>
            </w:pPr>
            <w:r>
              <w:rPr>
                <w:rFonts w:hint="default" w:ascii="Arial" w:hAnsi="Arial" w:eastAsia="宋体" w:cs="Arial"/>
                <w:lang w:eastAsia="zh-CN"/>
              </w:rPr>
              <w:t xml:space="preserve">If the </w:t>
            </w:r>
            <w:r>
              <w:rPr>
                <w:rFonts w:ascii="Arial" w:hAnsi="Arial" w:eastAsia="宋体" w:cs="Arial"/>
                <w:lang w:eastAsia="zh-CN"/>
              </w:rPr>
              <w:t>IAB-MT</w:t>
            </w:r>
            <w:r>
              <w:rPr>
                <w:rFonts w:hint="default" w:ascii="Arial" w:hAnsi="Arial" w:eastAsia="宋体" w:cs="Arial"/>
                <w:lang w:eastAsia="zh-CN"/>
              </w:rPr>
              <w:t xml:space="preserve"> implement</w:t>
            </w:r>
            <w:r>
              <w:rPr>
                <w:rFonts w:ascii="Arial" w:hAnsi="Arial" w:eastAsia="宋体" w:cs="Arial"/>
                <w:lang w:eastAsia="zh-CN"/>
              </w:rPr>
              <w:t>s</w:t>
            </w:r>
            <w:r>
              <w:rPr>
                <w:rFonts w:hint="default" w:ascii="Arial" w:hAnsi="Arial" w:eastAsia="宋体" w:cs="Arial"/>
                <w:lang w:eastAsia="zh-CN"/>
              </w:rPr>
              <w:t xml:space="preserve"> according to this CR but the network not,</w:t>
            </w:r>
            <w:r>
              <w:rPr>
                <w:rFonts w:ascii="Arial" w:hAnsi="Arial" w:eastAsia="宋体" w:cs="Arial"/>
                <w:lang w:eastAsia="zh-CN"/>
              </w:rPr>
              <w:t xml:space="preserve"> there is no inter-operability issue.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color w:val="FF0000"/>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numPr>
                <w:ilvl w:val="0"/>
                <w:numId w:val="0"/>
              </w:numPr>
              <w:rPr>
                <w:lang w:val="en-US" w:eastAsia="zh-CN"/>
              </w:rPr>
            </w:pPr>
            <w:r>
              <w:rPr>
                <w:rFonts w:hint="eastAsia" w:ascii="Times New Roman" w:hAnsi="Times New Roman" w:eastAsia="宋体" w:cs="Times New Roman"/>
                <w:i w:val="0"/>
                <w:iCs w:val="0"/>
                <w:lang w:val="en-US" w:eastAsia="zh-CN"/>
              </w:rPr>
              <w:t>The usage of SRI in IAB MAC CEs is not clear and not aligned with RAN1 and RAN2 specs. And the restriction to use only 16 SRS resource IDs to indicated MT beams is unnecessary and unreasonable.</w:t>
            </w:r>
          </w:p>
        </w:tc>
      </w:tr>
      <w:tr>
        <w:tblPrEx>
          <w:tblCellMar>
            <w:top w:w="0" w:type="dxa"/>
            <w:left w:w="42" w:type="dxa"/>
            <w:bottom w:w="0" w:type="dxa"/>
            <w:right w:w="42" w:type="dxa"/>
          </w:tblCellMar>
        </w:tblPrEx>
        <w:tc>
          <w:tcPr>
            <w:tcW w:w="2694" w:type="dxa"/>
            <w:gridSpan w:val="2"/>
          </w:tcPr>
          <w:p>
            <w:pPr>
              <w:pStyle w:val="93"/>
              <w:spacing w:after="0"/>
              <w:rPr>
                <w:b/>
                <w:i/>
                <w:sz w:val="8"/>
                <w:szCs w:val="8"/>
              </w:rPr>
            </w:pPr>
          </w:p>
        </w:tc>
        <w:tc>
          <w:tcPr>
            <w:tcW w:w="6946" w:type="dxa"/>
            <w:gridSpan w:val="9"/>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rPr>
                <w:rFonts w:hint="default" w:eastAsia="宋体"/>
                <w:lang w:val="en-US" w:eastAsia="zh-CN"/>
              </w:rPr>
            </w:pPr>
            <w:r>
              <w:rPr>
                <w:rFonts w:hint="eastAsia" w:eastAsia="宋体"/>
                <w:lang w:val="en-US" w:eastAsia="zh-CN"/>
              </w:rPr>
              <w:t>6.1.3.61, 6.1.3.62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3"/>
              <w:spacing w:after="0"/>
              <w:jc w:val="center"/>
              <w:rPr>
                <w:b/>
                <w:caps/>
              </w:rPr>
            </w:pPr>
            <w:r>
              <w:rPr>
                <w:b/>
                <w:caps/>
              </w:rPr>
              <w:t>N</w:t>
            </w:r>
          </w:p>
        </w:tc>
        <w:tc>
          <w:tcPr>
            <w:tcW w:w="2977" w:type="dxa"/>
            <w:gridSpan w:val="4"/>
            <w:shd w:val="clear" w:color="auto" w:fill="auto"/>
          </w:tcPr>
          <w:p>
            <w:pPr>
              <w:pStyle w:val="93"/>
              <w:tabs>
                <w:tab w:val="right" w:pos="2893"/>
              </w:tabs>
              <w:spacing w:after="0"/>
            </w:pPr>
          </w:p>
        </w:tc>
        <w:tc>
          <w:tcPr>
            <w:tcW w:w="3401" w:type="dxa"/>
            <w:gridSpan w:val="3"/>
            <w:tcBorders>
              <w:right w:val="single" w:color="auto" w:sz="4" w:space="0"/>
            </w:tcBorders>
            <w:shd w:val="clear" w:color="FFFF00" w:fill="auto"/>
          </w:tcPr>
          <w:p>
            <w:pPr>
              <w:pStyle w:val="9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spacing w:after="0"/>
            </w:pPr>
            <w:r>
              <w:t xml:space="preserve"> Test specifications</w:t>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spacing w:after="0"/>
            </w:pPr>
            <w:r>
              <w:t xml:space="preserve"> O&amp;M Specifications</w:t>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rPr>
            </w:pPr>
          </w:p>
        </w:tc>
        <w:tc>
          <w:tcPr>
            <w:tcW w:w="6946" w:type="dxa"/>
            <w:gridSpan w:val="9"/>
            <w:tcBorders>
              <w:right w:val="single" w:color="auto" w:sz="4" w:space="0"/>
            </w:tcBorders>
          </w:tcPr>
          <w:p>
            <w:pPr>
              <w:pStyle w:val="9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3"/>
              <w:spacing w:after="0"/>
              <w:ind w:left="100"/>
              <w:rPr>
                <w:rFonts w:eastAsia="宋体"/>
                <w:lang w:val="en-US" w:eastAsia="zh-CN"/>
              </w:rPr>
            </w:pPr>
            <w:r>
              <w:rPr>
                <w:rFonts w:hint="eastAsia" w:eastAsia="宋体"/>
                <w:lang w:val="en-US" w:eastAsia="zh-CN"/>
              </w:rPr>
              <w:t>-</w:t>
            </w:r>
          </w:p>
        </w:tc>
      </w:tr>
    </w:tbl>
    <w:p>
      <w:pPr>
        <w:pStyle w:val="93"/>
        <w:spacing w:after="0"/>
        <w:rPr>
          <w:sz w:val="8"/>
          <w:szCs w:val="8"/>
        </w:rPr>
      </w:pPr>
    </w:p>
    <w:tbl>
      <w:tblPr>
        <w:tblStyle w:val="41"/>
        <w:tblW w:w="0" w:type="auto"/>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9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49"/>
              <w:numPr>
                <w:ilvl w:val="-1"/>
                <w:numId w:val="0"/>
              </w:numPr>
              <w:ind w:left="100" w:firstLine="0" w:firstLineChars="0"/>
              <w:rPr>
                <w:rFonts w:hint="default" w:eastAsia="宋体"/>
                <w:lang w:val="en-US" w:eastAsia="zh-CN"/>
              </w:rPr>
            </w:pPr>
            <w:r>
              <w:rPr>
                <w:rFonts w:hint="eastAsia" w:eastAsia="宋体"/>
                <w:lang w:val="en-US" w:eastAsia="zh-CN"/>
              </w:rPr>
              <w:t>Rev1: R2-2311269</w:t>
            </w:r>
          </w:p>
          <w:p>
            <w:pPr>
              <w:pStyle w:val="49"/>
              <w:numPr>
                <w:ilvl w:val="0"/>
                <w:numId w:val="4"/>
              </w:numPr>
              <w:ind w:firstLineChars="0"/>
              <w:rPr>
                <w:rFonts w:eastAsia="宋体"/>
                <w:lang w:val="en-US" w:eastAsia="zh-CN"/>
              </w:rPr>
            </w:pPr>
            <w:r>
              <w:rPr>
                <w:rFonts w:hint="eastAsia" w:eastAsia="宋体"/>
                <w:lang w:val="en-US" w:eastAsia="zh-CN"/>
              </w:rPr>
              <w:t>remove the first change</w:t>
            </w:r>
          </w:p>
          <w:p>
            <w:pPr>
              <w:pStyle w:val="49"/>
              <w:numPr>
                <w:ilvl w:val="0"/>
                <w:numId w:val="4"/>
              </w:numPr>
              <w:ind w:firstLineChars="0"/>
              <w:rPr>
                <w:rFonts w:eastAsia="宋体"/>
                <w:lang w:val="en-US" w:eastAsia="zh-CN"/>
              </w:rPr>
            </w:pPr>
            <w:r>
              <w:t>Update the changes to “the information included in the 6 rightmost bits in the IAB-MT Resource set IDij field is the SRS-ResourceID.</w:t>
            </w:r>
            <w:r>
              <w:rPr>
                <w:rFonts w:hint="default" w:eastAsia="宋体"/>
                <w:lang w:val="en-US" w:eastAsia="zh-CN"/>
              </w:rPr>
              <w:t>”</w:t>
            </w:r>
          </w:p>
          <w:p>
            <w:pPr>
              <w:pStyle w:val="49"/>
              <w:numPr>
                <w:ilvl w:val="-1"/>
                <w:numId w:val="0"/>
              </w:numPr>
              <w:ind w:left="100" w:firstLine="0" w:firstLineChars="0"/>
              <w:rPr>
                <w:rFonts w:hint="default" w:eastAsia="宋体"/>
                <w:lang w:val="en-US" w:eastAsia="zh-CN"/>
              </w:rPr>
            </w:pPr>
            <w:r>
              <w:rPr>
                <w:rFonts w:hint="eastAsia" w:eastAsia="宋体"/>
                <w:lang w:val="en-US" w:eastAsia="zh-CN"/>
              </w:rPr>
              <w:t>Rev2: R2-2313414</w:t>
            </w:r>
          </w:p>
          <w:p>
            <w:pPr>
              <w:pStyle w:val="49"/>
              <w:numPr>
                <w:ilvl w:val="0"/>
                <w:numId w:val="4"/>
              </w:numPr>
              <w:ind w:firstLineChars="0"/>
              <w:rPr>
                <w:rFonts w:eastAsia="宋体"/>
                <w:lang w:val="en-US" w:eastAsia="zh-CN"/>
              </w:rPr>
            </w:pPr>
            <w:r>
              <w:rPr>
                <w:rFonts w:hint="eastAsia" w:eastAsia="宋体"/>
                <w:lang w:val="en-US" w:eastAsia="zh-CN"/>
              </w:rPr>
              <w:t>Submit to RAN2#124 meeting</w:t>
            </w:r>
          </w:p>
        </w:tc>
      </w:tr>
    </w:tbl>
    <w:p>
      <w:pPr>
        <w:spacing w:after="0"/>
        <w:sectPr>
          <w:headerReference r:id="rId7" w:type="first"/>
          <w:footerReference r:id="rId10" w:type="first"/>
          <w:headerReference r:id="rId5" w:type="default"/>
          <w:footerReference r:id="rId8" w:type="default"/>
          <w:headerReference r:id="rId6" w:type="even"/>
          <w:footerReference r:id="rId9" w:type="even"/>
          <w:footnotePr>
            <w:numRestart w:val="eachSect"/>
          </w:footnotePr>
          <w:type w:val="continuous"/>
          <w:pgSz w:w="11907" w:h="16840"/>
          <w:pgMar w:top="1418" w:right="1134" w:bottom="1134" w:left="1134" w:header="680" w:footer="567" w:gutter="0"/>
          <w:cols w:space="720" w:num="1"/>
          <w:docGrid w:linePitch="272" w:charSpace="0"/>
        </w:sectPr>
      </w:pPr>
    </w:p>
    <w:bookmarkEnd w:id="1"/>
    <w:p>
      <w:pPr>
        <w:pStyle w:val="104"/>
        <w:jc w:val="center"/>
        <w:rPr>
          <w:rFonts w:ascii="Times New Roman" w:hAnsi="Times New Roman" w:cs="Times New Roman"/>
          <w:lang w:val="en-US"/>
        </w:rPr>
      </w:pPr>
      <w:r>
        <w:rPr>
          <w:rFonts w:hint="eastAsia" w:ascii="Times New Roman" w:hAnsi="Times New Roman" w:eastAsia="宋体" w:cs="Times New Roman"/>
          <w:lang w:val="en-US" w:eastAsia="zh-CN"/>
        </w:rPr>
        <w:t>FIRST</w:t>
      </w:r>
      <w:r>
        <w:rPr>
          <w:rFonts w:ascii="Times New Roman" w:hAnsi="Times New Roman" w:cs="Times New Roman"/>
          <w:lang w:val="en-US"/>
        </w:rPr>
        <w:t xml:space="preserve"> CHANGE</w:t>
      </w:r>
    </w:p>
    <w:p>
      <w:pPr>
        <w:pStyle w:val="120"/>
        <w:framePr w:h="3057" w:hRule="exact" w:wrap="notBeside" w:vAnchor="page" w:hAnchor="margin" w:y="12605"/>
        <w:rPr>
          <w:sz w:val="18"/>
        </w:rPr>
      </w:pPr>
    </w:p>
    <w:p>
      <w:pPr>
        <w:pStyle w:val="5"/>
      </w:pPr>
      <w:bookmarkStart w:id="4" w:name="_1658144105"/>
      <w:bookmarkEnd w:id="4"/>
      <w:bookmarkStart w:id="5" w:name="_Toc139032445"/>
      <w:bookmarkStart w:id="6" w:name="_Toc37296299"/>
      <w:bookmarkStart w:id="7" w:name="_Toc52752125"/>
      <w:bookmarkStart w:id="8" w:name="_Toc100872141"/>
      <w:bookmarkStart w:id="9" w:name="_Toc52796587"/>
      <w:bookmarkStart w:id="10" w:name="_Toc90287299"/>
      <w:bookmarkStart w:id="11" w:name="_Toc46490430"/>
      <w:r>
        <w:t>6.1.3.</w:t>
      </w:r>
      <w:r>
        <w:rPr>
          <w:rFonts w:eastAsia="宋体"/>
          <w:lang w:eastAsia="zh-CN"/>
        </w:rPr>
        <w:t>61</w:t>
      </w:r>
      <w:r>
        <w:tab/>
      </w:r>
      <w:r>
        <w:t>Child IAB-DU Restricted Beam Indication MAC CE</w:t>
      </w:r>
      <w:bookmarkEnd w:id="5"/>
    </w:p>
    <w:p>
      <w:pPr>
        <w:rPr>
          <w:lang w:eastAsia="zh-CN"/>
        </w:rPr>
      </w:pPr>
      <w:r>
        <w:rPr>
          <w:lang w:eastAsia="zh-CN"/>
        </w:rPr>
        <w:t xml:space="preserve">The </w:t>
      </w:r>
      <w:r>
        <w:t>Child IAB-DU Restricted Beam Indication MAC CE</w:t>
      </w:r>
      <w:r>
        <w:rPr>
          <w:lang w:eastAsia="zh-CN"/>
        </w:rPr>
        <w:t xml:space="preserve"> is identified by MAC subheader with eLCID as specified in Table 6.2.1-1b. It has a variable size with following fields (Figure 6.1.3.61-1):</w:t>
      </w:r>
    </w:p>
    <w:p>
      <w:pPr>
        <w:pStyle w:val="50"/>
      </w:pPr>
      <w:r>
        <w:t>-</w:t>
      </w:r>
      <w:r>
        <w:tab/>
      </w:r>
      <w:r>
        <w:t xml:space="preserve">Resource Configuration ID: This fields indicates the RRC configuration which applies to this MAC CE and corresponds to </w:t>
      </w:r>
      <w:r>
        <w:rPr>
          <w:i/>
        </w:rPr>
        <w:t>iab-ResourceConfigID</w:t>
      </w:r>
      <w:r>
        <w:t xml:space="preserve"> parameter in </w:t>
      </w:r>
      <w:r>
        <w:rPr>
          <w:i/>
        </w:rPr>
        <w:t>IAB-ResourceConfig</w:t>
      </w:r>
      <w:r>
        <w:t xml:space="preserve"> as specified in TS 38.331 [5]. The length of the field is 16 bits;</w:t>
      </w:r>
    </w:p>
    <w:p>
      <w:pPr>
        <w:pStyle w:val="50"/>
      </w:pPr>
      <w:r>
        <w:t>-</w:t>
      </w:r>
      <w:r>
        <w:tab/>
      </w:r>
      <w:r>
        <w:t>Number of child IAB-DU beams ID: This field indicates the number of restricted child IAB-DU beams included in the MAC CE. The length of the field is 8 bits;</w:t>
      </w:r>
    </w:p>
    <w:p>
      <w:pPr>
        <w:pStyle w:val="50"/>
      </w:pPr>
      <w:r>
        <w:t>-</w:t>
      </w:r>
      <w:r>
        <w:tab/>
      </w:r>
      <w:r>
        <w:t>IAB-DU restricted beams type ID</w:t>
      </w:r>
      <w:r>
        <w:rPr>
          <w:vertAlign w:val="subscript"/>
        </w:rPr>
        <w:t>i</w:t>
      </w:r>
      <w:r>
        <w:t>: This field determines the type of information used as an indication of a set of child IAB-DU's restricted beams, indicated with the Child IAB-DU Resource set ID</w:t>
      </w:r>
      <w:r>
        <w:rPr>
          <w:vertAlign w:val="subscript"/>
        </w:rPr>
        <w:t>i</w:t>
      </w:r>
      <w:r>
        <w:t xml:space="preserve"> field</w:t>
      </w:r>
      <w:r>
        <w:rPr>
          <w:lang w:eastAsia="ko-KR"/>
        </w:rPr>
        <w:t xml:space="preserve">. </w:t>
      </w:r>
      <w:r>
        <w:t>IAB-DU restricted beams type ID</w:t>
      </w:r>
      <w:r>
        <w:rPr>
          <w:vertAlign w:val="subscript"/>
        </w:rPr>
        <w:t>0</w:t>
      </w:r>
      <w:r>
        <w:t xml:space="preserve"> refers to the first restricted beam within the resource set, IAB-DU restricted beams type ID</w:t>
      </w:r>
      <w:r>
        <w:rPr>
          <w:vertAlign w:val="subscript"/>
        </w:rPr>
        <w:t>1</w:t>
      </w:r>
      <w:r>
        <w:t xml:space="preserve"> to the second one and so on.</w:t>
      </w:r>
      <w:r>
        <w:rPr>
          <w:lang w:eastAsia="ko-KR"/>
        </w:rPr>
        <w:t xml:space="preserve"> If the value of the field is 00,</w:t>
      </w:r>
      <w:r>
        <w:t xml:space="preserve"> SSB index is used (contained in the 6 rightmost bits of the Child IAB-DU Resource set ID</w:t>
      </w:r>
      <w:r>
        <w:rPr>
          <w:vertAlign w:val="subscript"/>
        </w:rPr>
        <w:t>i</w:t>
      </w:r>
      <w:r>
        <w:t xml:space="preserve"> field, with the two leftmost bits being set to zero). If the value of the field is 01, SSB index (contained in the 6 rightmost bits of the Child IAB-DU Resource set ID</w:t>
      </w:r>
      <w:r>
        <w:rPr>
          <w:vertAlign w:val="subscript"/>
        </w:rPr>
        <w:t>i</w:t>
      </w:r>
      <w:r>
        <w:t xml:space="preserve"> field) </w:t>
      </w:r>
      <w:r>
        <w:rPr>
          <w:lang w:eastAsia="ko-KR"/>
        </w:rPr>
        <w:t xml:space="preserve">and STC index (contained in the two leftmost bits of the </w:t>
      </w:r>
      <w:r>
        <w:t>Child IAB-DU Resource set ID</w:t>
      </w:r>
      <w:r>
        <w:rPr>
          <w:vertAlign w:val="subscript"/>
        </w:rPr>
        <w:t>i</w:t>
      </w:r>
      <w:r>
        <w:t xml:space="preserve"> </w:t>
      </w:r>
      <w:r>
        <w:rPr>
          <w:lang w:eastAsia="ko-KR"/>
        </w:rPr>
        <w:t xml:space="preserve">field) are both used. If the value of the field is set to 11, </w:t>
      </w:r>
      <w:r>
        <w:t xml:space="preserve">CSI-RS index, </w:t>
      </w:r>
      <w:r>
        <w:rPr>
          <w:rFonts w:eastAsia="宋体"/>
          <w:lang w:eastAsia="zh-CN"/>
        </w:rPr>
        <w:t xml:space="preserve">which is </w:t>
      </w:r>
      <w:r>
        <w:rPr>
          <w:rFonts w:eastAsia="Malgun Gothic"/>
        </w:rPr>
        <w:t xml:space="preserve">the </w:t>
      </w:r>
      <w:r>
        <w:rPr>
          <w:rFonts w:eastAsia="Malgun Gothic"/>
          <w:i/>
        </w:rPr>
        <w:t>NZP-CSI-RS-ResourceId</w:t>
      </w:r>
      <w:r>
        <w:rPr>
          <w:rFonts w:eastAsia="Malgun Gothic"/>
        </w:rPr>
        <w:t xml:space="preserve"> as specified in TS 38.331 [5],</w:t>
      </w:r>
      <w:r>
        <w:t xml:space="preserve"> is used (comprising all 8 bits of the Child IAB-DU Resource set ID</w:t>
      </w:r>
      <w:r>
        <w:rPr>
          <w:vertAlign w:val="subscript"/>
        </w:rPr>
        <w:t>i</w:t>
      </w:r>
      <w:r>
        <w:t xml:space="preserve"> field). The length of the field is 2 bits;</w:t>
      </w:r>
    </w:p>
    <w:p>
      <w:pPr>
        <w:pStyle w:val="50"/>
      </w:pPr>
      <w:r>
        <w:t>-</w:t>
      </w:r>
      <w:r>
        <w:tab/>
      </w:r>
      <w:r>
        <w:t>C</w:t>
      </w:r>
      <w:r>
        <w:rPr>
          <w:vertAlign w:val="subscript"/>
        </w:rPr>
        <w:t>i1</w:t>
      </w:r>
      <w:r>
        <w:t>: This field indicates whether the octet containing the Number of cell configurations ID</w:t>
      </w:r>
      <w:r>
        <w:rPr>
          <w:vertAlign w:val="subscript"/>
        </w:rPr>
        <w:t>i</w:t>
      </w:r>
      <w:r>
        <w:t xml:space="preserve"> field is included or not. C</w:t>
      </w:r>
      <w:r>
        <w:rPr>
          <w:vertAlign w:val="subscript"/>
        </w:rPr>
        <w:t xml:space="preserve">01 </w:t>
      </w:r>
      <w:r>
        <w:t>refers to the first restricted beam within the resource set, C</w:t>
      </w:r>
      <w:r>
        <w:rPr>
          <w:vertAlign w:val="subscript"/>
        </w:rPr>
        <w:t>11</w:t>
      </w:r>
      <w:r>
        <w:t xml:space="preserve"> to the second one and so on. The field is set to 0 to indicate the octet is not included (and subsequently, that no cell information is included for the relevant restricted beam). The field is set to 1 to indicate that Number of cell configurations ID</w:t>
      </w:r>
      <w:r>
        <w:rPr>
          <w:vertAlign w:val="subscript"/>
        </w:rPr>
        <w:t>i</w:t>
      </w:r>
      <w:r>
        <w:t xml:space="preserve"> field is included. The length of the field is 1 bits;</w:t>
      </w:r>
    </w:p>
    <w:p>
      <w:pPr>
        <w:pStyle w:val="50"/>
      </w:pPr>
      <w:r>
        <w:t>-</w:t>
      </w:r>
      <w:r>
        <w:tab/>
      </w:r>
      <w:r>
        <w:t>C</w:t>
      </w:r>
      <w:r>
        <w:rPr>
          <w:vertAlign w:val="subscript"/>
        </w:rPr>
        <w:t>i2</w:t>
      </w:r>
      <w:r>
        <w:t>: This field indicates whether the child IAB-DU beam indicated with the Child IAB-DU Resource set ID</w:t>
      </w:r>
      <w:r>
        <w:rPr>
          <w:vertAlign w:val="subscript"/>
        </w:rPr>
        <w:t>i</w:t>
      </w:r>
      <w:r>
        <w:t xml:space="preserve"> field is associated with one or more uplink or downlink IAB-MT beams, indicated with the IAB-MT Resource set ID</w:t>
      </w:r>
      <w:r>
        <w:rPr>
          <w:vertAlign w:val="subscript"/>
        </w:rPr>
        <w:t>ij</w:t>
      </w:r>
      <w:r>
        <w:t xml:space="preserve"> fields. C</w:t>
      </w:r>
      <w:r>
        <w:rPr>
          <w:vertAlign w:val="subscript"/>
        </w:rPr>
        <w:t>02</w:t>
      </w:r>
      <w:r>
        <w:t xml:space="preserve"> refers to the first restricted beam within the resource set, C</w:t>
      </w:r>
      <w:r>
        <w:rPr>
          <w:vertAlign w:val="subscript"/>
        </w:rPr>
        <w:t>12</w:t>
      </w:r>
      <w:r>
        <w:t xml:space="preserve"> to the second one and so on. The field is set to 1 to indicate that at least one IAB-MT Resource set ID</w:t>
      </w:r>
      <w:r>
        <w:rPr>
          <w:vertAlign w:val="subscript"/>
        </w:rPr>
        <w:t>ij</w:t>
      </w:r>
      <w:r>
        <w:t xml:space="preserve"> field is included (and that Number of associated IAB-MT beams ID</w:t>
      </w:r>
      <w:r>
        <w:rPr>
          <w:vertAlign w:val="subscript"/>
        </w:rPr>
        <w:t>i</w:t>
      </w:r>
      <w:r>
        <w:t xml:space="preserve"> is included), </w:t>
      </w:r>
      <w:r>
        <w:rPr>
          <w:lang w:eastAsia="ko-KR"/>
        </w:rPr>
        <w:t xml:space="preserve">and </w:t>
      </w:r>
      <w:r>
        <w:t>it is set to 0 to indicate that no IAB-MT Resource set ID</w:t>
      </w:r>
      <w:r>
        <w:rPr>
          <w:vertAlign w:val="subscript"/>
        </w:rPr>
        <w:t>ij</w:t>
      </w:r>
      <w:r>
        <w:t xml:space="preserve"> field is present (and that the Number of associated IAB-MT beams ID</w:t>
      </w:r>
      <w:r>
        <w:rPr>
          <w:vertAlign w:val="subscript"/>
        </w:rPr>
        <w:t>i</w:t>
      </w:r>
      <w:r>
        <w:t xml:space="preserve"> is absent). The length of the field is 1 bit;</w:t>
      </w:r>
    </w:p>
    <w:p>
      <w:pPr>
        <w:pStyle w:val="50"/>
        <w:rPr>
          <w:lang w:eastAsia="ko-KR"/>
        </w:rPr>
      </w:pPr>
      <w:r>
        <w:t>-</w:t>
      </w:r>
      <w:r>
        <w:rPr>
          <w:lang w:eastAsia="ko-KR"/>
        </w:rPr>
        <w:tab/>
      </w:r>
      <w:r>
        <w:rPr>
          <w:lang w:eastAsia="ko-KR"/>
        </w:rPr>
        <w:t>R: Reserved bit, set to 0;</w:t>
      </w:r>
    </w:p>
    <w:p>
      <w:pPr>
        <w:pStyle w:val="50"/>
      </w:pPr>
      <w:r>
        <w:t>-</w:t>
      </w:r>
      <w:r>
        <w:tab/>
      </w:r>
      <w:r>
        <w:t>Child IAB-DU Resource set ID</w:t>
      </w:r>
      <w:r>
        <w:rPr>
          <w:vertAlign w:val="subscript"/>
        </w:rPr>
        <w:t xml:space="preserve">i: </w:t>
      </w:r>
      <w:r>
        <w:t>an indication of the child IAB-DU's beam in the direction of which simultaneous operation is restricted. The length of the field is 8 bits;</w:t>
      </w:r>
    </w:p>
    <w:p>
      <w:pPr>
        <w:pStyle w:val="50"/>
      </w:pPr>
      <w:r>
        <w:t>-</w:t>
      </w:r>
      <w:r>
        <w:tab/>
      </w:r>
      <w:r>
        <w:t>Number of cell configurations ID</w:t>
      </w:r>
      <w:r>
        <w:rPr>
          <w:vertAlign w:val="subscript"/>
        </w:rPr>
        <w:t>i</w:t>
      </w:r>
      <w:r>
        <w:t>: This field indicates the number of cell configurations associated with the beam restriction indicated in Child IAB-DU Resource set ID</w:t>
      </w:r>
      <w:r>
        <w:rPr>
          <w:vertAlign w:val="subscript"/>
        </w:rPr>
        <w:t>i</w:t>
      </w:r>
      <w:r>
        <w:t>. Number of cell configurations ID</w:t>
      </w:r>
      <w:r>
        <w:rPr>
          <w:vertAlign w:val="subscript"/>
        </w:rPr>
        <w:t>0</w:t>
      </w:r>
      <w:r>
        <w:t xml:space="preserve"> refers to the first restricted beam within the resource set, Number of cell configurations ID</w:t>
      </w:r>
      <w:r>
        <w:rPr>
          <w:vertAlign w:val="subscript"/>
        </w:rPr>
        <w:t>1</w:t>
      </w:r>
      <w:r>
        <w:t xml:space="preserve"> to the second one and so on. The length of the field is 8 bits;</w:t>
      </w:r>
    </w:p>
    <w:p>
      <w:pPr>
        <w:pStyle w:val="50"/>
      </w:pPr>
      <w:r>
        <w:t>-</w:t>
      </w:r>
      <w:r>
        <w:tab/>
      </w:r>
      <w:r>
        <w:t>Cell info type ID</w:t>
      </w:r>
      <w:r>
        <w:rPr>
          <w:vertAlign w:val="subscript"/>
        </w:rPr>
        <w:t>ij</w:t>
      </w:r>
      <w:r>
        <w:t>: indicates the type of information included in the Cell info ID</w:t>
      </w:r>
      <w:r>
        <w:rPr>
          <w:vertAlign w:val="subscript"/>
        </w:rPr>
        <w:t>ij</w:t>
      </w:r>
      <w:r>
        <w:t xml:space="preserve"> field. If the value of the field is set to zero, the combination of {MT CC, DU cell} is included in the Cell info ID</w:t>
      </w:r>
      <w:r>
        <w:rPr>
          <w:vertAlign w:val="subscript"/>
        </w:rPr>
        <w:t>ij</w:t>
      </w:r>
      <w:r>
        <w:t xml:space="preserve"> field, by including the IAB-DU cell in the first nine bits of the field, and the IAB-MT Serving Cell index into the next 5 bits of the field,. If the value of the field is set to one, only DU cell is included in the Cell info ID</w:t>
      </w:r>
      <w:r>
        <w:rPr>
          <w:vertAlign w:val="subscript"/>
        </w:rPr>
        <w:t>ij</w:t>
      </w:r>
      <w:r>
        <w:t xml:space="preserve"> field, by including the IAB-DU cell in the first nine bits of the field, and by setting the remaining five bits to zero. The length of the field is 1 bit;</w:t>
      </w:r>
    </w:p>
    <w:p>
      <w:pPr>
        <w:pStyle w:val="50"/>
      </w:pPr>
      <w:r>
        <w:t>-</w:t>
      </w:r>
      <w:r>
        <w:tab/>
      </w:r>
      <w:r>
        <w:t>M</w:t>
      </w:r>
      <w:r>
        <w:rPr>
          <w:vertAlign w:val="subscript"/>
        </w:rPr>
        <w:t>ij</w:t>
      </w:r>
      <w:r>
        <w:t>: This field indicates whether the octet containing multiplexing mode info (containing the Multiplexing mode info ID</w:t>
      </w:r>
      <w:r>
        <w:rPr>
          <w:vertAlign w:val="subscript"/>
        </w:rPr>
        <w:t>ij</w:t>
      </w:r>
      <w:r>
        <w:t xml:space="preserve"> field) is included or not. M</w:t>
      </w:r>
      <w:r>
        <w:rPr>
          <w:vertAlign w:val="subscript"/>
        </w:rPr>
        <w:t>i0</w:t>
      </w:r>
      <w:r>
        <w:t xml:space="preserve"> refers to the first combination of {MT CC, DU cell} associated with Child IAB-DU Resource set ID</w:t>
      </w:r>
      <w:r>
        <w:rPr>
          <w:vertAlign w:val="subscript"/>
        </w:rPr>
        <w:t>i</w:t>
      </w:r>
      <w:r>
        <w:t>, M</w:t>
      </w:r>
      <w:r>
        <w:rPr>
          <w:vertAlign w:val="subscript"/>
        </w:rPr>
        <w:t>i1</w:t>
      </w:r>
      <w:r>
        <w:t xml:space="preserve"> to the second one and so on. The field is set to 1 to indicate that multiplexing mode info is included, and it is set to 0 to indicate that multiplexing mode info is not present. The length of the field is 1 bit;</w:t>
      </w:r>
    </w:p>
    <w:p>
      <w:pPr>
        <w:pStyle w:val="50"/>
      </w:pPr>
      <w:r>
        <w:t>-</w:t>
      </w:r>
      <w:r>
        <w:tab/>
      </w:r>
      <w:r>
        <w:t>Cell info ID</w:t>
      </w:r>
      <w:r>
        <w:rPr>
          <w:vertAlign w:val="subscript"/>
        </w:rPr>
        <w:t>ij</w:t>
      </w:r>
      <w:r>
        <w:t>: indicates the cell configuration associated with beam restriction indicated in Child IAB-DU Resource set ID</w:t>
      </w:r>
      <w:r>
        <w:rPr>
          <w:vertAlign w:val="subscript"/>
        </w:rPr>
        <w:t>i</w:t>
      </w:r>
      <w:r>
        <w:t>. Cell info ID</w:t>
      </w:r>
      <w:r>
        <w:rPr>
          <w:vertAlign w:val="subscript"/>
        </w:rPr>
        <w:t xml:space="preserve">i0 </w:t>
      </w:r>
      <w:r>
        <w:t>field refers to the first cell configuration associated with the beam restriction indicated in Child IAB-DU Resource set ID</w:t>
      </w:r>
      <w:r>
        <w:rPr>
          <w:vertAlign w:val="subscript"/>
        </w:rPr>
        <w:t>i</w:t>
      </w:r>
      <w:r>
        <w:t>, Cell info ID</w:t>
      </w:r>
      <w:r>
        <w:rPr>
          <w:vertAlign w:val="subscript"/>
        </w:rPr>
        <w:t xml:space="preserve">i1 </w:t>
      </w:r>
      <w:r>
        <w:t>field refers to the second cell configuration associated with the beam restriction indicated in Child IAB-DU Resource set ID</w:t>
      </w:r>
      <w:r>
        <w:rPr>
          <w:vertAlign w:val="subscript"/>
        </w:rPr>
        <w:t>i</w:t>
      </w:r>
      <w:r>
        <w:t>, and so on. The length of the field is 15 bits;</w:t>
      </w:r>
    </w:p>
    <w:p>
      <w:pPr>
        <w:pStyle w:val="50"/>
      </w:pPr>
      <w:r>
        <w:t>-</w:t>
      </w:r>
      <w:r>
        <w:tab/>
      </w:r>
      <w:r>
        <w:t>Multiplexing mode info ID</w:t>
      </w:r>
      <w:r>
        <w:rPr>
          <w:vertAlign w:val="subscript"/>
        </w:rPr>
        <w:t>ij</w:t>
      </w:r>
      <w:r>
        <w:t>: The two rightmost bits indicate which of the four multiplexing modes defined in TS 38.473 [27] is applicable. The third rightmost bit of this field indicates whether multiplexing restrictions mode information contained in the two rightmost bits of the field are applicable to non-overlapping frequency resources. This bit is set to 1 when multiplexing mode information contained in the two rightmost bits of the Multiplexing mode info ID</w:t>
      </w:r>
      <w:r>
        <w:rPr>
          <w:vertAlign w:val="subscript"/>
        </w:rPr>
        <w:t>ij</w:t>
      </w:r>
      <w:r>
        <w:t xml:space="preserve"> field is applicable to non-overlapping frequency resources. This field is set to 0 when multiplexing mode information contained in the two rightmost bits of the Multiplexing mode info ID</w:t>
      </w:r>
      <w:r>
        <w:rPr>
          <w:vertAlign w:val="subscript"/>
        </w:rPr>
        <w:t>ij</w:t>
      </w:r>
      <w:r>
        <w:t xml:space="preserve"> field is not applicable to non-overlapping frequency resources. The remaining 5 bits of this field are set to zero. The length of the field is 8 bits;</w:t>
      </w:r>
    </w:p>
    <w:p>
      <w:pPr>
        <w:pStyle w:val="50"/>
      </w:pPr>
      <w:r>
        <w:t>-</w:t>
      </w:r>
      <w:r>
        <w:tab/>
      </w:r>
      <w:r>
        <w:t>Number of associated IAB-MT beams ID</w:t>
      </w:r>
      <w:r>
        <w:rPr>
          <w:vertAlign w:val="subscript"/>
        </w:rPr>
        <w:t>i</w:t>
      </w:r>
      <w:r>
        <w:t>: This field indicates the number of IAB-MT beams associated with the beam indicated in Child IAB-DU Resource set ID</w:t>
      </w:r>
      <w:r>
        <w:rPr>
          <w:vertAlign w:val="subscript"/>
        </w:rPr>
        <w:t>i</w:t>
      </w:r>
      <w:r>
        <w:t>. Number of associated IAB-MT beams ID</w:t>
      </w:r>
      <w:r>
        <w:rPr>
          <w:vertAlign w:val="subscript"/>
        </w:rPr>
        <w:t>0</w:t>
      </w:r>
      <w:r>
        <w:t xml:space="preserve"> refers to the first restricted beam within the resource set, Number of associated IAB-MT beams ID</w:t>
      </w:r>
      <w:r>
        <w:rPr>
          <w:vertAlign w:val="subscript"/>
        </w:rPr>
        <w:t>1</w:t>
      </w:r>
      <w:r>
        <w:t xml:space="preserve"> to the second one and so on. The length of the field is 8 bits;</w:t>
      </w:r>
    </w:p>
    <w:p>
      <w:pPr>
        <w:pStyle w:val="50"/>
      </w:pPr>
      <w:r>
        <w:t>-</w:t>
      </w:r>
      <w:r>
        <w:tab/>
      </w:r>
      <w:r>
        <w:t>Associated IAB-MT's beams type ID</w:t>
      </w:r>
      <w:r>
        <w:rPr>
          <w:vertAlign w:val="subscript"/>
        </w:rPr>
        <w:t>ij</w:t>
      </w:r>
      <w:r>
        <w:t>: This field determines the type of information used as an indication of an uplink or downlink IAB-MT beam associated with the child IAB-DU's restricted beams, indicated with the IAB-MT Resource set ID</w:t>
      </w:r>
      <w:r>
        <w:rPr>
          <w:vertAlign w:val="subscript"/>
        </w:rPr>
        <w:t>ij</w:t>
      </w:r>
      <w:r>
        <w:t>. If the value of the field is 00, the information included in the IAB-MT Resource set ID</w:t>
      </w:r>
      <w:r>
        <w:rPr>
          <w:vertAlign w:val="subscript"/>
        </w:rPr>
        <w:t>ij</w:t>
      </w:r>
      <w:r>
        <w:t xml:space="preserve"> field is the TCI state ID (contained in the 7 rightmost bits of the field). If the value of the field is 01, the information included in the IAB-MT Resource set ID</w:t>
      </w:r>
      <w:r>
        <w:rPr>
          <w:vertAlign w:val="subscript"/>
        </w:rPr>
        <w:t>ij</w:t>
      </w:r>
      <w:r>
        <w:t xml:space="preserve"> field is the SSB ID (contained in the 6 rightmost bits of the field). If the value of the field is 10, the information included in the IAB-MT Resource set ID</w:t>
      </w:r>
      <w:r>
        <w:rPr>
          <w:vertAlign w:val="subscript"/>
        </w:rPr>
        <w:t>ij</w:t>
      </w:r>
      <w:r>
        <w:t xml:space="preserve"> field is the CSI-RS index (comprising all 8 bits), </w:t>
      </w:r>
      <w:r>
        <w:rPr>
          <w:rFonts w:eastAsia="宋体"/>
          <w:lang w:eastAsia="zh-CN"/>
        </w:rPr>
        <w:t xml:space="preserve">which is </w:t>
      </w:r>
      <w:r>
        <w:rPr>
          <w:rFonts w:eastAsia="Malgun Gothic"/>
        </w:rPr>
        <w:t xml:space="preserve">the </w:t>
      </w:r>
      <w:r>
        <w:rPr>
          <w:rFonts w:eastAsia="Malgun Gothic"/>
          <w:i/>
        </w:rPr>
        <w:t>NZP-CSI-RS-ResourceId</w:t>
      </w:r>
      <w:r>
        <w:rPr>
          <w:rFonts w:eastAsia="Malgun Gothic"/>
        </w:rPr>
        <w:t xml:space="preserve"> as specified in TS 38.331 [5]</w:t>
      </w:r>
      <w:r>
        <w:t>. If the value of the field is 11, the information included in the</w:t>
      </w:r>
      <w:del w:id="0" w:author="ZTE" w:date="2023-10-09T15:14:14Z">
        <w:r>
          <w:rPr/>
          <w:delText xml:space="preserve"> </w:delText>
        </w:r>
      </w:del>
      <w:ins w:id="1" w:author="ZTE" w:date="2023-10-09T15:14:11Z">
        <w:r>
          <w:rPr>
            <w:rFonts w:hint="eastAsia" w:eastAsia="宋体"/>
            <w:lang w:val="en-US" w:eastAsia="zh-CN"/>
          </w:rPr>
          <w:t xml:space="preserve"> 6 rightmost bits </w:t>
        </w:r>
      </w:ins>
      <w:ins w:id="2" w:author="ZTE" w:date="2023-10-10T12:30:34Z">
        <w:r>
          <w:rPr>
            <w:rFonts w:hint="eastAsia" w:eastAsia="宋体"/>
            <w:lang w:val="en-US" w:eastAsia="zh-CN"/>
          </w:rPr>
          <w:t>i</w:t>
        </w:r>
      </w:ins>
      <w:ins w:id="3" w:author="ZTE" w:date="2023-10-10T12:30:35Z">
        <w:r>
          <w:rPr>
            <w:rFonts w:hint="eastAsia" w:eastAsia="宋体"/>
            <w:lang w:val="en-US" w:eastAsia="zh-CN"/>
          </w:rPr>
          <w:t>n</w:t>
        </w:r>
      </w:ins>
      <w:ins w:id="4" w:author="ZTE" w:date="2023-10-09T15:14:11Z">
        <w:r>
          <w:rPr>
            <w:rFonts w:hint="eastAsia" w:eastAsia="宋体"/>
            <w:lang w:val="en-US" w:eastAsia="zh-CN"/>
          </w:rPr>
          <w:t xml:space="preserve"> the</w:t>
        </w:r>
      </w:ins>
      <w:ins w:id="5" w:author="ZTE" w:date="2023-10-09T15:14:21Z">
        <w:r>
          <w:rPr>
            <w:rFonts w:hint="eastAsia" w:eastAsia="宋体"/>
            <w:lang w:val="en-US" w:eastAsia="zh-CN"/>
          </w:rPr>
          <w:t xml:space="preserve"> </w:t>
        </w:r>
      </w:ins>
      <w:r>
        <w:t>IAB-MT Resource set ID</w:t>
      </w:r>
      <w:r>
        <w:rPr>
          <w:vertAlign w:val="subscript"/>
        </w:rPr>
        <w:t>ij</w:t>
      </w:r>
      <w:r>
        <w:t xml:space="preserve"> field is the</w:t>
      </w:r>
      <w:del w:id="6" w:author="ZTE" w:date="2023-10-09T15:14:56Z">
        <w:r>
          <w:rPr>
            <w:rFonts w:hint="default"/>
            <w:lang w:val="en-US"/>
          </w:rPr>
          <w:delText xml:space="preserve"> SRI (contained in the 4 rightmost bits of the field and </w:delText>
        </w:r>
      </w:del>
      <w:del w:id="7" w:author="ZTE" w:date="2023-10-09T15:14:56Z">
        <w:r>
          <w:rPr>
            <w:rFonts w:hint="default"/>
            <w:szCs w:val="22"/>
            <w:lang w:val="en-US"/>
          </w:rPr>
          <w:delText xml:space="preserve">referring to an </w:delText>
        </w:r>
      </w:del>
      <w:ins w:id="8" w:author="ZTE" w:date="2023-10-09T15:14:56Z">
        <w:r>
          <w:rPr>
            <w:rFonts w:hint="eastAsia" w:eastAsia="宋体"/>
            <w:lang w:val="en-US" w:eastAsia="zh-CN"/>
          </w:rPr>
          <w:t xml:space="preserve"> </w:t>
        </w:r>
      </w:ins>
      <w:r>
        <w:rPr>
          <w:i/>
          <w:szCs w:val="22"/>
        </w:rPr>
        <w:t>SRS-ResourceID</w:t>
      </w:r>
      <w:del w:id="9" w:author="ZTE" w:date="2023-10-09T15:14:38Z">
        <w:r>
          <w:rPr/>
          <w:delText>)</w:delText>
        </w:r>
      </w:del>
      <w:r>
        <w:t>. The length of the field is 2 bits;</w:t>
      </w:r>
    </w:p>
    <w:p>
      <w:pPr>
        <w:pStyle w:val="50"/>
      </w:pPr>
      <w:r>
        <w:t>-</w:t>
      </w:r>
      <w:r>
        <w:tab/>
      </w:r>
      <w:r>
        <w:t>IAB-MT Resource set ID</w:t>
      </w:r>
      <w:r>
        <w:rPr>
          <w:vertAlign w:val="subscript"/>
        </w:rPr>
        <w:t xml:space="preserve">ij: </w:t>
      </w:r>
      <w:r>
        <w:t>an indication of the IAB-MTs downlink or uplink beams which are associated with the child IAB-DU restricted beam indicated in Child IAB-DU Resource set ID</w:t>
      </w:r>
      <w:r>
        <w:rPr>
          <w:vertAlign w:val="subscript"/>
        </w:rPr>
        <w:t>i</w:t>
      </w:r>
      <w:r>
        <w:t xml:space="preserve"> field. IAB-MT Resource set ID</w:t>
      </w:r>
      <w:r>
        <w:rPr>
          <w:vertAlign w:val="subscript"/>
        </w:rPr>
        <w:t>i0</w:t>
      </w:r>
      <w:r>
        <w:t xml:space="preserve"> field refers to the first IAB-MT's beam associated with the child IAB-DU's restricted beam indicated in Child IAB-DU Resource set ID</w:t>
      </w:r>
      <w:r>
        <w:rPr>
          <w:vertAlign w:val="subscript"/>
        </w:rPr>
        <w:t>i</w:t>
      </w:r>
      <w:r>
        <w:t xml:space="preserve"> field, IAB-MT Resource set ID</w:t>
      </w:r>
      <w:r>
        <w:rPr>
          <w:vertAlign w:val="subscript"/>
        </w:rPr>
        <w:t>i1</w:t>
      </w:r>
      <w:r>
        <w:t xml:space="preserve"> field refers to the second IAB-MT's beam associated with the child IAB-DU's restricted beam indicated in Child IAB-DU Resource set ID</w:t>
      </w:r>
      <w:r>
        <w:rPr>
          <w:vertAlign w:val="subscript"/>
        </w:rPr>
        <w:t>i</w:t>
      </w:r>
      <w:r>
        <w:t xml:space="preserve"> field, and so on. The length of the field is 8 bits.</w:t>
      </w:r>
    </w:p>
    <w:p>
      <w:pPr>
        <w:pStyle w:val="51"/>
      </w:pPr>
      <w:r>
        <w:object>
          <v:shape id="_x0000_i1025" o:spt="75" type="#_x0000_t75" style="height:714pt;width:156.35pt;" o:ole="t" filled="f" o:preferrelative="t" stroked="f" coordsize="21600,21600">
            <v:path/>
            <v:fill on="f" focussize="0,0"/>
            <v:stroke on="f" joinstyle="miter"/>
            <v:imagedata r:id="rId15" o:title=""/>
            <o:lock v:ext="edit" aspectratio="t"/>
            <w10:wrap type="none"/>
            <w10:anchorlock/>
          </v:shape>
          <o:OLEObject Type="Embed" ProgID="Visio.Drawing.15" ShapeID="_x0000_i1025" DrawAspect="Content" ObjectID="_1468075725" r:id="rId14">
            <o:LockedField>false</o:LockedField>
          </o:OLEObject>
        </w:object>
      </w:r>
    </w:p>
    <w:p>
      <w:pPr>
        <w:pStyle w:val="96"/>
        <w:rPr>
          <w:lang w:eastAsia="ko-KR"/>
        </w:rPr>
      </w:pPr>
      <w:r>
        <w:rPr>
          <w:lang w:eastAsia="ko-KR"/>
        </w:rPr>
        <w:t>Figure 6.1.3.</w:t>
      </w:r>
      <w:r>
        <w:rPr>
          <w:rFonts w:eastAsia="宋体"/>
          <w:lang w:eastAsia="zh-CN"/>
        </w:rPr>
        <w:t>61</w:t>
      </w:r>
      <w:r>
        <w:rPr>
          <w:lang w:eastAsia="ko-KR"/>
        </w:rPr>
        <w:t>-1: Child IAB-DU Restricted Beam Indication MAC CE</w:t>
      </w:r>
    </w:p>
    <w:p>
      <w:pPr>
        <w:pStyle w:val="5"/>
      </w:pPr>
      <w:r>
        <w:t>6.1.3.62</w:t>
      </w:r>
      <w:r>
        <w:tab/>
      </w:r>
      <w:r>
        <w:t>IAB-MT Recommended Beam Indication MAC CE</w:t>
      </w:r>
    </w:p>
    <w:p>
      <w:pPr>
        <w:rPr>
          <w:lang w:eastAsia="zh-CN"/>
        </w:rPr>
      </w:pPr>
      <w:r>
        <w:rPr>
          <w:lang w:eastAsia="zh-CN"/>
        </w:rPr>
        <w:t xml:space="preserve">The </w:t>
      </w:r>
      <w:r>
        <w:t>IAB-MT Recommended Beam Indication MAC CE</w:t>
      </w:r>
      <w:r>
        <w:rPr>
          <w:lang w:eastAsia="zh-CN"/>
        </w:rPr>
        <w:t xml:space="preserve"> is identified by MAC subheader with eLCID as specified in Table 6.2.1-2b. It has a variable size with following fields (Figure 6.1.3.62-1):</w:t>
      </w:r>
    </w:p>
    <w:p>
      <w:pPr>
        <w:pStyle w:val="50"/>
      </w:pPr>
      <w:r>
        <w:t>-</w:t>
      </w:r>
      <w:r>
        <w:tab/>
      </w:r>
      <w:r>
        <w:t>Resource Configuration ID: This field indicates the RRC configuration which applies to this MAC CE and corresponds to</w:t>
      </w:r>
      <w:r>
        <w:rPr>
          <w:iCs/>
        </w:rPr>
        <w:t xml:space="preserve"> </w:t>
      </w:r>
      <w:r>
        <w:rPr>
          <w:i/>
          <w:iCs/>
        </w:rPr>
        <w:t>iab-ResourceConfigID</w:t>
      </w:r>
      <w:r>
        <w:t xml:space="preserve"> parameter in </w:t>
      </w:r>
      <w:r>
        <w:rPr>
          <w:i/>
          <w:iCs/>
        </w:rPr>
        <w:t>IAB-ResourceConfig</w:t>
      </w:r>
      <w:r>
        <w:t xml:space="preserve"> as specified in TS 38.331 [5]. The length of the field is 16 bits;</w:t>
      </w:r>
    </w:p>
    <w:p>
      <w:pPr>
        <w:pStyle w:val="50"/>
      </w:pPr>
      <w:r>
        <w:t>-</w:t>
      </w:r>
      <w:r>
        <w:tab/>
      </w:r>
      <w:r>
        <w:t>Number of IAB-MT beams ID: This field indicates the number of recommended IAB-MT beams included in the MAC CE. The length of the field is 8 bits;</w:t>
      </w:r>
    </w:p>
    <w:p>
      <w:pPr>
        <w:pStyle w:val="50"/>
      </w:pPr>
      <w:r>
        <w:t>-</w:t>
      </w:r>
      <w:r>
        <w:tab/>
      </w:r>
      <w:r>
        <w:t>IAB-MT beam type ID</w:t>
      </w:r>
      <w:r>
        <w:rPr>
          <w:vertAlign w:val="subscript"/>
        </w:rPr>
        <w:t>i</w:t>
      </w:r>
      <w:r>
        <w:t>: This field determines the type of information used as an indication of an uplink or downlink IAB-MT beam, indicated with the IAB-MT Resource set ID</w:t>
      </w:r>
      <w:r>
        <w:rPr>
          <w:vertAlign w:val="subscript"/>
        </w:rPr>
        <w:t>i</w:t>
      </w:r>
      <w:r>
        <w:t>. If the value of the field is 00, the information included in the IAB-MT Resource set ID</w:t>
      </w:r>
      <w:r>
        <w:rPr>
          <w:vertAlign w:val="subscript"/>
        </w:rPr>
        <w:t>i</w:t>
      </w:r>
      <w:r>
        <w:t xml:space="preserve"> field is the TCI state ID (contained in the 7 rightmost bits of the field). If the value of the field is 01, the information included in the IAB-MT Resource set ID</w:t>
      </w:r>
      <w:r>
        <w:rPr>
          <w:vertAlign w:val="subscript"/>
        </w:rPr>
        <w:t>i</w:t>
      </w:r>
      <w:r>
        <w:t xml:space="preserve"> field is the SSB ID (contained in the 6 rightmost bits of the field). If the value of the field is 10, the information included in the IAB-MT Resource set ID</w:t>
      </w:r>
      <w:r>
        <w:rPr>
          <w:vertAlign w:val="subscript"/>
        </w:rPr>
        <w:t>i</w:t>
      </w:r>
      <w:r>
        <w:t xml:space="preserve"> field is the CSI-RS index (comprising all 8 bits), </w:t>
      </w:r>
      <w:r>
        <w:rPr>
          <w:rFonts w:eastAsia="宋体"/>
          <w:lang w:eastAsia="zh-CN"/>
        </w:rPr>
        <w:t xml:space="preserve">which is </w:t>
      </w:r>
      <w:r>
        <w:rPr>
          <w:rFonts w:eastAsia="Malgun Gothic"/>
        </w:rPr>
        <w:t xml:space="preserve">the </w:t>
      </w:r>
      <w:r>
        <w:rPr>
          <w:rFonts w:eastAsia="Malgun Gothic"/>
          <w:i/>
        </w:rPr>
        <w:t>NZP-CSI-RS-ResourceId</w:t>
      </w:r>
      <w:r>
        <w:rPr>
          <w:rFonts w:eastAsia="Malgun Gothic"/>
        </w:rPr>
        <w:t xml:space="preserve"> as specified in TS 38.331 [5]</w:t>
      </w:r>
      <w:r>
        <w:t>. If the value of the field is 11, the information included in the</w:t>
      </w:r>
      <w:ins w:id="10" w:author="ZTE" w:date="2023-10-09T15:15:17Z">
        <w:r>
          <w:rPr>
            <w:rFonts w:hint="eastAsia" w:eastAsia="宋体"/>
            <w:lang w:val="en-US" w:eastAsia="zh-CN"/>
          </w:rPr>
          <w:t xml:space="preserve"> 6 rightmost bits </w:t>
        </w:r>
      </w:ins>
      <w:ins w:id="11" w:author="ZTE" w:date="2023-10-10T12:31:11Z">
        <w:r>
          <w:rPr>
            <w:rFonts w:hint="eastAsia" w:eastAsia="宋体"/>
            <w:lang w:val="en-US" w:eastAsia="zh-CN"/>
          </w:rPr>
          <w:t>in</w:t>
        </w:r>
      </w:ins>
      <w:ins w:id="12" w:author="ZTE" w:date="2023-10-10T12:31:12Z">
        <w:r>
          <w:rPr>
            <w:rFonts w:hint="eastAsia" w:eastAsia="宋体"/>
            <w:lang w:val="en-US" w:eastAsia="zh-CN"/>
          </w:rPr>
          <w:t xml:space="preserve"> </w:t>
        </w:r>
      </w:ins>
      <w:ins w:id="13" w:author="ZTE" w:date="2023-10-09T15:15:17Z">
        <w:r>
          <w:rPr>
            <w:rFonts w:hint="eastAsia" w:eastAsia="宋体"/>
            <w:lang w:val="en-US" w:eastAsia="zh-CN"/>
          </w:rPr>
          <w:t>the</w:t>
        </w:r>
      </w:ins>
      <w:r>
        <w:t xml:space="preserve"> IAB-MT Resource set ID</w:t>
      </w:r>
      <w:r>
        <w:rPr>
          <w:vertAlign w:val="subscript"/>
        </w:rPr>
        <w:t>i</w:t>
      </w:r>
      <w:r>
        <w:t xml:space="preserve"> field is the</w:t>
      </w:r>
      <w:del w:id="14" w:author="ZTE" w:date="2023-10-09T15:15:33Z">
        <w:r>
          <w:rPr/>
          <w:delText xml:space="preserve"> SRI (contained in the </w:delText>
        </w:r>
      </w:del>
      <w:del w:id="15" w:author="ZTE" w:date="2023-10-09T15:15:33Z">
        <w:r>
          <w:rPr>
            <w:rFonts w:hint="default"/>
            <w:lang w:val="en-US"/>
          </w:rPr>
          <w:delText>4</w:delText>
        </w:r>
      </w:del>
      <w:del w:id="16" w:author="ZTE" w:date="2023-10-09T15:15:33Z">
        <w:r>
          <w:rPr/>
          <w:delText xml:space="preserve"> rightmost bits of the field and </w:delText>
        </w:r>
      </w:del>
      <w:del w:id="17" w:author="ZTE" w:date="2023-10-09T15:15:33Z">
        <w:r>
          <w:rPr>
            <w:szCs w:val="22"/>
          </w:rPr>
          <w:delText>referring to an</w:delText>
        </w:r>
      </w:del>
      <w:r>
        <w:rPr>
          <w:szCs w:val="22"/>
        </w:rPr>
        <w:t xml:space="preserve"> </w:t>
      </w:r>
      <w:r>
        <w:rPr>
          <w:i/>
          <w:szCs w:val="22"/>
        </w:rPr>
        <w:t>SRS-ResourceID</w:t>
      </w:r>
      <w:del w:id="18" w:author="ZTE" w:date="2023-10-11T23:51:50Z">
        <w:r>
          <w:rPr/>
          <w:delText>)</w:delText>
        </w:r>
      </w:del>
      <w:r>
        <w:t>. The length of the field is 2 bits;</w:t>
      </w:r>
    </w:p>
    <w:p>
      <w:pPr>
        <w:pStyle w:val="50"/>
      </w:pPr>
      <w:r>
        <w:t>-</w:t>
      </w:r>
      <w:r>
        <w:tab/>
      </w:r>
      <w:r>
        <w:t>IAB-MT Resource set ID</w:t>
      </w:r>
      <w:r>
        <w:rPr>
          <w:vertAlign w:val="subscript"/>
        </w:rPr>
        <w:t>i</w:t>
      </w:r>
      <w:r>
        <w:t>: an indication of the IAB-MTs recommended downlink or uplink beams. IAB-MT Resource set ID</w:t>
      </w:r>
      <w:r>
        <w:rPr>
          <w:vertAlign w:val="subscript"/>
        </w:rPr>
        <w:t>0</w:t>
      </w:r>
      <w:r>
        <w:t xml:space="preserve"> field refers to the first IAB-MT's beam, IAB-MT Resource set ID</w:t>
      </w:r>
      <w:r>
        <w:rPr>
          <w:vertAlign w:val="subscript"/>
        </w:rPr>
        <w:t>1</w:t>
      </w:r>
      <w:r>
        <w:t xml:space="preserve"> field refers to the second IAB-MT's beam, and so on. The length of the field is 8 bits;</w:t>
      </w:r>
    </w:p>
    <w:p>
      <w:pPr>
        <w:pStyle w:val="50"/>
      </w:pPr>
      <w:r>
        <w:t>-</w:t>
      </w:r>
      <w:r>
        <w:tab/>
      </w:r>
      <w:r>
        <w:t>C</w:t>
      </w:r>
      <w:r>
        <w:rPr>
          <w:vertAlign w:val="subscript"/>
        </w:rPr>
        <w:t>i1</w:t>
      </w:r>
      <w:r>
        <w:t>: This field indicates whether the octet containing the Number of cell configurations ID</w:t>
      </w:r>
      <w:r>
        <w:rPr>
          <w:vertAlign w:val="subscript"/>
        </w:rPr>
        <w:t>i</w:t>
      </w:r>
      <w:r>
        <w:t xml:space="preserve"> field is included or not. C</w:t>
      </w:r>
      <w:r>
        <w:rPr>
          <w:vertAlign w:val="subscript"/>
        </w:rPr>
        <w:t>01</w:t>
      </w:r>
      <w:r>
        <w:t xml:space="preserve"> refers to the first recommended beam within the resource set, C</w:t>
      </w:r>
      <w:r>
        <w:rPr>
          <w:vertAlign w:val="subscript"/>
        </w:rPr>
        <w:t>11</w:t>
      </w:r>
      <w:r>
        <w:t xml:space="preserve"> to the second one and so on. The field is set to 0 to indicate the octet is not included (and subsequently, that no cell information is included for the relevant recommended beam). The field is set to 1 to indicate that Number of cell configurations ID</w:t>
      </w:r>
      <w:r>
        <w:rPr>
          <w:vertAlign w:val="subscript"/>
        </w:rPr>
        <w:t>i</w:t>
      </w:r>
      <w:r>
        <w:t xml:space="preserve"> field is included. The length of the field is 1 bits;</w:t>
      </w:r>
    </w:p>
    <w:p>
      <w:pPr>
        <w:pStyle w:val="50"/>
      </w:pPr>
      <w:r>
        <w:t>-</w:t>
      </w:r>
      <w:r>
        <w:tab/>
      </w:r>
      <w:r>
        <w:t>R: Reserved bit, set to 0;</w:t>
      </w:r>
    </w:p>
    <w:p>
      <w:pPr>
        <w:pStyle w:val="50"/>
      </w:pPr>
      <w:r>
        <w:t>-</w:t>
      </w:r>
      <w:r>
        <w:tab/>
      </w:r>
      <w:r>
        <w:t>Number of cell configurations ID</w:t>
      </w:r>
      <w:r>
        <w:rPr>
          <w:vertAlign w:val="subscript"/>
        </w:rPr>
        <w:t>i</w:t>
      </w:r>
      <w:r>
        <w:t>: This field indicates the number of cell configurations associated with the beam indicated in IAB-MT Resource set ID</w:t>
      </w:r>
      <w:r>
        <w:rPr>
          <w:vertAlign w:val="subscript"/>
        </w:rPr>
        <w:t>i</w:t>
      </w:r>
      <w:r>
        <w:t>. Number of cell configurations ID</w:t>
      </w:r>
      <w:r>
        <w:rPr>
          <w:vertAlign w:val="subscript"/>
        </w:rPr>
        <w:t>0</w:t>
      </w:r>
      <w:r>
        <w:t xml:space="preserve"> refers to the first recommended beam within the resource set, Number of cell configurations ID</w:t>
      </w:r>
      <w:r>
        <w:rPr>
          <w:vertAlign w:val="subscript"/>
        </w:rPr>
        <w:t>1</w:t>
      </w:r>
      <w:r>
        <w:t xml:space="preserve"> to the second one and so on. The length of the field is 8 bits;</w:t>
      </w:r>
    </w:p>
    <w:p>
      <w:pPr>
        <w:pStyle w:val="50"/>
      </w:pPr>
      <w:r>
        <w:t>-</w:t>
      </w:r>
      <w:r>
        <w:tab/>
      </w:r>
      <w:r>
        <w:t>Cell info type ID</w:t>
      </w:r>
      <w:r>
        <w:rPr>
          <w:vertAlign w:val="subscript"/>
        </w:rPr>
        <w:t>ij</w:t>
      </w:r>
      <w:r>
        <w:t>: indicates the type of information included in the Cell info ID</w:t>
      </w:r>
      <w:r>
        <w:rPr>
          <w:vertAlign w:val="subscript"/>
        </w:rPr>
        <w:t>ij</w:t>
      </w:r>
      <w:r>
        <w:t xml:space="preserve"> field. If the value of the field is set to zero, the combination of {MT CC, DU cell} is included in the Cell info ID</w:t>
      </w:r>
      <w:r>
        <w:rPr>
          <w:vertAlign w:val="subscript"/>
        </w:rPr>
        <w:t>ij</w:t>
      </w:r>
      <w:r>
        <w:t xml:space="preserve"> field, by including the IAB-DU cell in the first nine bits of the field, and the IAB-MT Serving Cell index into the next 5 bits of the field. If the value of the field is set to one, only MT CC information is included in the Cell info ID</w:t>
      </w:r>
      <w:r>
        <w:rPr>
          <w:vertAlign w:val="subscript"/>
        </w:rPr>
        <w:t>ij</w:t>
      </w:r>
      <w:r>
        <w:t xml:space="preserve"> field, by including the IAB-MT Serving Cell index in the first 5 bits of the field, and by setting the remaining nine bits to zero. The length of the field is 1 bit;</w:t>
      </w:r>
    </w:p>
    <w:p>
      <w:pPr>
        <w:pStyle w:val="50"/>
      </w:pPr>
      <w:r>
        <w:t>-</w:t>
      </w:r>
      <w:r>
        <w:tab/>
      </w:r>
      <w:r>
        <w:t>M</w:t>
      </w:r>
      <w:r>
        <w:rPr>
          <w:vertAlign w:val="subscript"/>
        </w:rPr>
        <w:t>ij</w:t>
      </w:r>
      <w:r>
        <w:t>: This field indicates whether the octet containing multiplexing mode info (containing the Multiplexing mode info ID</w:t>
      </w:r>
      <w:r>
        <w:rPr>
          <w:vertAlign w:val="subscript"/>
        </w:rPr>
        <w:t>ij</w:t>
      </w:r>
      <w:r>
        <w:t xml:space="preserve"> field) is included or not. M</w:t>
      </w:r>
      <w:r>
        <w:rPr>
          <w:vertAlign w:val="subscript"/>
        </w:rPr>
        <w:t>i0</w:t>
      </w:r>
      <w:r>
        <w:t xml:space="preserve"> refers to the first combination of {MT CC, DU cell} associated with IAB-MT Resource set ID</w:t>
      </w:r>
      <w:r>
        <w:rPr>
          <w:vertAlign w:val="subscript"/>
        </w:rPr>
        <w:t>i</w:t>
      </w:r>
      <w:r>
        <w:t>, M</w:t>
      </w:r>
      <w:r>
        <w:rPr>
          <w:vertAlign w:val="subscript"/>
        </w:rPr>
        <w:t>i1</w:t>
      </w:r>
      <w:r>
        <w:t xml:space="preserve"> to the second one and so on. The field is set to 1 to indicate that multiplexing mode info is included, and it is set to 0 to indicate that multiplexing mode info is not present. The length of the field is 1 bit;</w:t>
      </w:r>
    </w:p>
    <w:p>
      <w:pPr>
        <w:pStyle w:val="50"/>
      </w:pPr>
      <w:r>
        <w:t>-</w:t>
      </w:r>
      <w:r>
        <w:tab/>
      </w:r>
      <w:r>
        <w:t>Cell info ID</w:t>
      </w:r>
      <w:r>
        <w:rPr>
          <w:vertAlign w:val="subscript"/>
        </w:rPr>
        <w:t>ij</w:t>
      </w:r>
      <w:r>
        <w:t>: indicates the cell configuration associated with beam recommendation indicated in IAB-MT Resource set ID</w:t>
      </w:r>
      <w:r>
        <w:rPr>
          <w:vertAlign w:val="subscript"/>
        </w:rPr>
        <w:t>i</w:t>
      </w:r>
      <w:r>
        <w:t>. Cell info ID</w:t>
      </w:r>
      <w:r>
        <w:rPr>
          <w:vertAlign w:val="subscript"/>
        </w:rPr>
        <w:t>i0</w:t>
      </w:r>
      <w:r>
        <w:t xml:space="preserve"> field refers to the first cell configuration associated with the beam recommendation indicated in IAB-MT Resource set ID</w:t>
      </w:r>
      <w:r>
        <w:rPr>
          <w:vertAlign w:val="subscript"/>
        </w:rPr>
        <w:t>i</w:t>
      </w:r>
      <w:r>
        <w:t>, Cell info ID</w:t>
      </w:r>
      <w:r>
        <w:rPr>
          <w:vertAlign w:val="subscript"/>
        </w:rPr>
        <w:t>i1</w:t>
      </w:r>
      <w:r>
        <w:t xml:space="preserve"> field refers to the second cell configuration associated with the beam recommendation indicated in IAB-MT Resource set ID</w:t>
      </w:r>
      <w:r>
        <w:rPr>
          <w:vertAlign w:val="subscript"/>
        </w:rPr>
        <w:t>i</w:t>
      </w:r>
      <w:r>
        <w:t>, and so on. The length of the field is 14 bits.</w:t>
      </w:r>
    </w:p>
    <w:p>
      <w:pPr>
        <w:pStyle w:val="50"/>
      </w:pPr>
      <w:r>
        <w:t>-</w:t>
      </w:r>
      <w:r>
        <w:tab/>
      </w:r>
      <w:r>
        <w:t>Multiplexing mode info ID</w:t>
      </w:r>
      <w:r>
        <w:rPr>
          <w:vertAlign w:val="subscript"/>
        </w:rPr>
        <w:t>ij</w:t>
      </w:r>
      <w:r>
        <w:t>: The two rightmost bits indicate which of the four multiplexing modes defined in TS 38.473 [27] is applicable. The third rightmost bit of this field indicates whether multiplexing restrictions mode information contained in the two rightmost bits of the field are applicable to non-overlapping frequency resources. This bit is set to 1 when multiplexing mode information contained in the two rightmost bits of the Multiplexing mode info ID</w:t>
      </w:r>
      <w:r>
        <w:rPr>
          <w:vertAlign w:val="subscript"/>
        </w:rPr>
        <w:t>ij</w:t>
      </w:r>
      <w:r>
        <w:t xml:space="preserve"> field is applicable to non-overlapping frequency resources. This field is set to 0 when multiplexing mode information contained in the two rightmost bits of the Multiplexing mode info ID</w:t>
      </w:r>
      <w:r>
        <w:rPr>
          <w:vertAlign w:val="subscript"/>
        </w:rPr>
        <w:t>ij</w:t>
      </w:r>
      <w:r>
        <w:t xml:space="preserve"> field is not applicable to non-overlapping frequency resources. The remaining 5 bits of this field are set to zero. The length of the field is 8 bits.</w:t>
      </w:r>
    </w:p>
    <w:p>
      <w:pPr>
        <w:pStyle w:val="51"/>
      </w:pPr>
      <w:r>
        <w:object>
          <v:shape id="_x0000_i1026" o:spt="75" type="#_x0000_t75" style="height:714.35pt;width:224.8pt;" o:ole="t" filled="f" o:preferrelative="t" stroked="f" coordsize="21600,21600">
            <v:path/>
            <v:fill on="f" focussize="0,0"/>
            <v:stroke on="f" joinstyle="miter"/>
            <v:imagedata r:id="rId17" o:title=""/>
            <o:lock v:ext="edit" aspectratio="t"/>
            <w10:wrap type="none"/>
            <w10:anchorlock/>
          </v:shape>
          <o:OLEObject Type="Embed" ProgID="Visio.Drawing.15" ShapeID="_x0000_i1026" DrawAspect="Content" ObjectID="_1468075726" r:id="rId16">
            <o:LockedField>false</o:LockedField>
          </o:OLEObject>
        </w:object>
      </w:r>
    </w:p>
    <w:p>
      <w:pPr>
        <w:pStyle w:val="96"/>
        <w:rPr>
          <w:lang w:eastAsia="ko-KR"/>
        </w:rPr>
      </w:pPr>
      <w:r>
        <w:rPr>
          <w:lang w:eastAsia="ko-KR"/>
        </w:rPr>
        <w:t>Figure 6.1.3.</w:t>
      </w:r>
      <w:r>
        <w:rPr>
          <w:rFonts w:eastAsia="宋体"/>
          <w:lang w:eastAsia="zh-CN"/>
        </w:rPr>
        <w:t>62</w:t>
      </w:r>
      <w:r>
        <w:rPr>
          <w:lang w:eastAsia="ko-KR"/>
        </w:rPr>
        <w:t>-1: IAB-MT Recommended Beam Indication MAC CE</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Malgun Gothic"/>
          <w:i/>
        </w:rPr>
      </w:pPr>
      <w:r>
        <w:rPr>
          <w:rFonts w:eastAsia="Malgun Gothic"/>
          <w:i/>
        </w:rPr>
        <w:t xml:space="preserve">End of Changes </w:t>
      </w:r>
      <w:bookmarkEnd w:id="6"/>
      <w:bookmarkEnd w:id="7"/>
      <w:bookmarkEnd w:id="8"/>
      <w:bookmarkEnd w:id="9"/>
      <w:bookmarkEnd w:id="10"/>
      <w:bookmarkEnd w:id="11"/>
      <w:r>
        <w:fldChar w:fldCharType="begin"/>
      </w:r>
      <w:r>
        <w:fldChar w:fldCharType="end"/>
      </w:r>
    </w:p>
    <w:p>
      <w:pPr>
        <w:keepLines/>
        <w:rPr>
          <w:lang w:eastAsia="ko-KR"/>
        </w:rPr>
      </w:pPr>
    </w:p>
    <w:sectPr>
      <w:headerReference r:id="rId11" w:type="default"/>
      <w:footerReference r:id="rId12"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roman"/>
    <w:pitch w:val="default"/>
    <w:sig w:usb0="E00002FF" w:usb1="6AC7FDFB" w:usb2="00000012" w:usb3="00000000" w:csb0="4002009F" w:csb1="DFD70000"/>
  </w:font>
  <w:font w:name="Monotype Sorts">
    <w:altName w:val="Symbol"/>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85EEAE"/>
    <w:multiLevelType w:val="singleLevel"/>
    <w:tmpl w:val="0885EEAE"/>
    <w:lvl w:ilvl="0" w:tentative="0">
      <w:start w:val="1"/>
      <w:numFmt w:val="bullet"/>
      <w:lvlText w:val=""/>
      <w:lvlJc w:val="left"/>
      <w:pPr>
        <w:ind w:left="420" w:hanging="420"/>
      </w:pPr>
      <w:rPr>
        <w:rFonts w:hint="default" w:ascii="Wingdings" w:hAnsi="Wingdings"/>
      </w:rPr>
    </w:lvl>
  </w:abstractNum>
  <w:abstractNum w:abstractNumId="1">
    <w:nsid w:val="55475EB1"/>
    <w:multiLevelType w:val="multilevel"/>
    <w:tmpl w:val="55475EB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0146DC0"/>
    <w:multiLevelType w:val="multilevel"/>
    <w:tmpl w:val="70146DC0"/>
    <w:lvl w:ilvl="0" w:tentative="0">
      <w:start w:val="1"/>
      <w:numFmt w:val="bullet"/>
      <w:pStyle w:val="117"/>
      <w:lvlText w:val=""/>
      <w:lvlJc w:val="left"/>
      <w:pPr>
        <w:tabs>
          <w:tab w:val="left" w:pos="779"/>
        </w:tabs>
        <w:ind w:left="779" w:hanging="360"/>
      </w:pPr>
      <w:rPr>
        <w:rFonts w:hint="default" w:ascii="Symbol" w:hAnsi="Symbol"/>
        <w:b/>
        <w:i w:val="0"/>
        <w:color w:val="auto"/>
        <w:sz w:val="22"/>
      </w:rPr>
    </w:lvl>
    <w:lvl w:ilvl="1" w:tentative="0">
      <w:start w:val="1"/>
      <w:numFmt w:val="bullet"/>
      <w:lvlText w:val="o"/>
      <w:lvlJc w:val="left"/>
      <w:pPr>
        <w:tabs>
          <w:tab w:val="left" w:pos="600"/>
        </w:tabs>
        <w:ind w:left="600" w:hanging="360"/>
      </w:pPr>
      <w:rPr>
        <w:rFonts w:hint="default" w:ascii="Courier New" w:hAnsi="Courier New" w:cs="Courier New"/>
      </w:rPr>
    </w:lvl>
    <w:lvl w:ilvl="2" w:tentative="0">
      <w:start w:val="1"/>
      <w:numFmt w:val="bullet"/>
      <w:lvlText w:val=""/>
      <w:lvlJc w:val="left"/>
      <w:pPr>
        <w:tabs>
          <w:tab w:val="left" w:pos="1320"/>
        </w:tabs>
        <w:ind w:left="1320" w:hanging="360"/>
      </w:pPr>
      <w:rPr>
        <w:rFonts w:hint="default" w:ascii="Wingdings" w:hAnsi="Wingdings"/>
      </w:rPr>
    </w:lvl>
    <w:lvl w:ilvl="3" w:tentative="0">
      <w:start w:val="1"/>
      <w:numFmt w:val="bullet"/>
      <w:lvlText w:val=""/>
      <w:lvlJc w:val="left"/>
      <w:pPr>
        <w:tabs>
          <w:tab w:val="left" w:pos="2040"/>
        </w:tabs>
        <w:ind w:left="2040" w:hanging="360"/>
      </w:pPr>
      <w:rPr>
        <w:rFonts w:hint="default" w:ascii="Symbol" w:hAnsi="Symbol"/>
      </w:rPr>
    </w:lvl>
    <w:lvl w:ilvl="4" w:tentative="0">
      <w:start w:val="1"/>
      <w:numFmt w:val="bullet"/>
      <w:lvlText w:val="o"/>
      <w:lvlJc w:val="left"/>
      <w:pPr>
        <w:tabs>
          <w:tab w:val="left" w:pos="2760"/>
        </w:tabs>
        <w:ind w:left="2760" w:hanging="360"/>
      </w:pPr>
      <w:rPr>
        <w:rFonts w:hint="default" w:ascii="Courier New" w:hAnsi="Courier New" w:cs="Courier New"/>
      </w:rPr>
    </w:lvl>
    <w:lvl w:ilvl="5" w:tentative="0">
      <w:start w:val="1"/>
      <w:numFmt w:val="bullet"/>
      <w:lvlText w:val=""/>
      <w:lvlJc w:val="left"/>
      <w:pPr>
        <w:tabs>
          <w:tab w:val="left" w:pos="3480"/>
        </w:tabs>
        <w:ind w:left="3480" w:hanging="360"/>
      </w:pPr>
      <w:rPr>
        <w:rFonts w:hint="default" w:ascii="Wingdings" w:hAnsi="Wingdings"/>
      </w:rPr>
    </w:lvl>
    <w:lvl w:ilvl="6" w:tentative="0">
      <w:start w:val="1"/>
      <w:numFmt w:val="bullet"/>
      <w:lvlText w:val=""/>
      <w:lvlJc w:val="left"/>
      <w:pPr>
        <w:tabs>
          <w:tab w:val="left" w:pos="4200"/>
        </w:tabs>
        <w:ind w:left="4200" w:hanging="360"/>
      </w:pPr>
      <w:rPr>
        <w:rFonts w:hint="default" w:ascii="Symbol" w:hAnsi="Symbol"/>
      </w:rPr>
    </w:lvl>
    <w:lvl w:ilvl="7" w:tentative="0">
      <w:start w:val="1"/>
      <w:numFmt w:val="bullet"/>
      <w:lvlText w:val="o"/>
      <w:lvlJc w:val="left"/>
      <w:pPr>
        <w:tabs>
          <w:tab w:val="left" w:pos="4920"/>
        </w:tabs>
        <w:ind w:left="4920" w:hanging="360"/>
      </w:pPr>
      <w:rPr>
        <w:rFonts w:hint="default" w:ascii="Courier New" w:hAnsi="Courier New" w:cs="Courier New"/>
      </w:rPr>
    </w:lvl>
    <w:lvl w:ilvl="8" w:tentative="0">
      <w:start w:val="1"/>
      <w:numFmt w:val="bullet"/>
      <w:lvlText w:val=""/>
      <w:lvlJc w:val="left"/>
      <w:pPr>
        <w:tabs>
          <w:tab w:val="left" w:pos="5640"/>
        </w:tabs>
        <w:ind w:left="5640" w:hanging="360"/>
      </w:pPr>
      <w:rPr>
        <w:rFonts w:hint="default" w:ascii="Wingdings" w:hAnsi="Wingdings"/>
      </w:rPr>
    </w:lvl>
  </w:abstractNum>
  <w:abstractNum w:abstractNumId="3">
    <w:nsid w:val="77BD6184"/>
    <w:multiLevelType w:val="multilevel"/>
    <w:tmpl w:val="77BD6184"/>
    <w:lvl w:ilvl="0" w:tentative="0">
      <w:start w:val="8"/>
      <w:numFmt w:val="bullet"/>
      <w:lvlText w:val="-"/>
      <w:lvlJc w:val="left"/>
      <w:pPr>
        <w:ind w:left="520" w:hanging="420"/>
      </w:pPr>
      <w:rPr>
        <w:rFonts w:hint="default" w:ascii="Arial" w:hAnsi="Arial" w:eastAsia="Times New Roman" w:cs="Arial"/>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3B"/>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6DE"/>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1F0"/>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3E26"/>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07FD9"/>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2F16"/>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8A"/>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E92"/>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2084733"/>
    <w:rsid w:val="028213AB"/>
    <w:rsid w:val="030E4812"/>
    <w:rsid w:val="032C5213"/>
    <w:rsid w:val="033D19E3"/>
    <w:rsid w:val="039456E8"/>
    <w:rsid w:val="039D3089"/>
    <w:rsid w:val="03CE08E1"/>
    <w:rsid w:val="03FE00ED"/>
    <w:rsid w:val="041B66CA"/>
    <w:rsid w:val="050E43F6"/>
    <w:rsid w:val="05510EEA"/>
    <w:rsid w:val="0572159C"/>
    <w:rsid w:val="05CC1FE8"/>
    <w:rsid w:val="06B048CD"/>
    <w:rsid w:val="06C86967"/>
    <w:rsid w:val="072E4C3D"/>
    <w:rsid w:val="07C41D1C"/>
    <w:rsid w:val="0830427E"/>
    <w:rsid w:val="09954E1E"/>
    <w:rsid w:val="09A50353"/>
    <w:rsid w:val="0A3858CF"/>
    <w:rsid w:val="0A4A10FB"/>
    <w:rsid w:val="0A7E7FA9"/>
    <w:rsid w:val="0B1936C6"/>
    <w:rsid w:val="0B434BAB"/>
    <w:rsid w:val="0B490A6B"/>
    <w:rsid w:val="0BED601C"/>
    <w:rsid w:val="0BFF08FA"/>
    <w:rsid w:val="0C36171A"/>
    <w:rsid w:val="0D044734"/>
    <w:rsid w:val="0D056F2E"/>
    <w:rsid w:val="0D866604"/>
    <w:rsid w:val="0DC70DCD"/>
    <w:rsid w:val="0E1D2BE4"/>
    <w:rsid w:val="0E2A3071"/>
    <w:rsid w:val="0E896632"/>
    <w:rsid w:val="0E925C1E"/>
    <w:rsid w:val="106A1193"/>
    <w:rsid w:val="10987442"/>
    <w:rsid w:val="10DC5DED"/>
    <w:rsid w:val="10EE49BE"/>
    <w:rsid w:val="11FA3445"/>
    <w:rsid w:val="128D71FE"/>
    <w:rsid w:val="129C1CED"/>
    <w:rsid w:val="12C9793F"/>
    <w:rsid w:val="13065305"/>
    <w:rsid w:val="13327E47"/>
    <w:rsid w:val="134B6810"/>
    <w:rsid w:val="13A46D04"/>
    <w:rsid w:val="147867F8"/>
    <w:rsid w:val="147E388F"/>
    <w:rsid w:val="15262A3E"/>
    <w:rsid w:val="15426C85"/>
    <w:rsid w:val="15753395"/>
    <w:rsid w:val="15FC1AEC"/>
    <w:rsid w:val="168C2DE2"/>
    <w:rsid w:val="1714051E"/>
    <w:rsid w:val="17245A62"/>
    <w:rsid w:val="176F2837"/>
    <w:rsid w:val="177D1767"/>
    <w:rsid w:val="17EE43B4"/>
    <w:rsid w:val="182C16C1"/>
    <w:rsid w:val="18380066"/>
    <w:rsid w:val="183D0898"/>
    <w:rsid w:val="18A13B67"/>
    <w:rsid w:val="19D020CC"/>
    <w:rsid w:val="19D15F15"/>
    <w:rsid w:val="1A264207"/>
    <w:rsid w:val="1A332095"/>
    <w:rsid w:val="1AD10E68"/>
    <w:rsid w:val="1B0C4F57"/>
    <w:rsid w:val="1B0C68A4"/>
    <w:rsid w:val="1B1D7667"/>
    <w:rsid w:val="1B467572"/>
    <w:rsid w:val="1B61316D"/>
    <w:rsid w:val="1C4C0327"/>
    <w:rsid w:val="1C600D70"/>
    <w:rsid w:val="1C81160A"/>
    <w:rsid w:val="1C9A088B"/>
    <w:rsid w:val="1D38588F"/>
    <w:rsid w:val="1D5860F0"/>
    <w:rsid w:val="1DEA53E4"/>
    <w:rsid w:val="1E142AB0"/>
    <w:rsid w:val="1E4C4AC1"/>
    <w:rsid w:val="1EAF7AD9"/>
    <w:rsid w:val="1EE4776A"/>
    <w:rsid w:val="1EF534EF"/>
    <w:rsid w:val="1F06578D"/>
    <w:rsid w:val="1F0C2BAF"/>
    <w:rsid w:val="1F9545D6"/>
    <w:rsid w:val="202E2D69"/>
    <w:rsid w:val="203A7D4B"/>
    <w:rsid w:val="20EA5739"/>
    <w:rsid w:val="21230998"/>
    <w:rsid w:val="21930A13"/>
    <w:rsid w:val="21975F43"/>
    <w:rsid w:val="222C6903"/>
    <w:rsid w:val="224372E0"/>
    <w:rsid w:val="231B5533"/>
    <w:rsid w:val="239B5BBD"/>
    <w:rsid w:val="23B82227"/>
    <w:rsid w:val="246A0ABD"/>
    <w:rsid w:val="24A44889"/>
    <w:rsid w:val="25020330"/>
    <w:rsid w:val="25C02528"/>
    <w:rsid w:val="25F94FD3"/>
    <w:rsid w:val="26120516"/>
    <w:rsid w:val="262C385E"/>
    <w:rsid w:val="26A903EB"/>
    <w:rsid w:val="27405ECB"/>
    <w:rsid w:val="275F63BD"/>
    <w:rsid w:val="27631714"/>
    <w:rsid w:val="287B4D47"/>
    <w:rsid w:val="287F1345"/>
    <w:rsid w:val="29F1306A"/>
    <w:rsid w:val="2A392A9B"/>
    <w:rsid w:val="2A43422C"/>
    <w:rsid w:val="2AA61083"/>
    <w:rsid w:val="2BAC3BE8"/>
    <w:rsid w:val="2BB8335E"/>
    <w:rsid w:val="2BE2044A"/>
    <w:rsid w:val="2C3C5C02"/>
    <w:rsid w:val="2C604AAB"/>
    <w:rsid w:val="2D212EB9"/>
    <w:rsid w:val="2D616C39"/>
    <w:rsid w:val="2D6D4292"/>
    <w:rsid w:val="2E18244E"/>
    <w:rsid w:val="2E4311E3"/>
    <w:rsid w:val="2EAA6718"/>
    <w:rsid w:val="2EBC3FE6"/>
    <w:rsid w:val="305E3588"/>
    <w:rsid w:val="30A10916"/>
    <w:rsid w:val="313F5D12"/>
    <w:rsid w:val="31D72BED"/>
    <w:rsid w:val="32385EF0"/>
    <w:rsid w:val="324268B8"/>
    <w:rsid w:val="32610B65"/>
    <w:rsid w:val="32D505BC"/>
    <w:rsid w:val="32F70692"/>
    <w:rsid w:val="337D5BA4"/>
    <w:rsid w:val="338400BD"/>
    <w:rsid w:val="34BF46BA"/>
    <w:rsid w:val="34EE5BA8"/>
    <w:rsid w:val="350A377A"/>
    <w:rsid w:val="35383590"/>
    <w:rsid w:val="362E77FE"/>
    <w:rsid w:val="367A0819"/>
    <w:rsid w:val="37336F12"/>
    <w:rsid w:val="374D6A23"/>
    <w:rsid w:val="381551E7"/>
    <w:rsid w:val="387271E7"/>
    <w:rsid w:val="38E70244"/>
    <w:rsid w:val="390A7FD3"/>
    <w:rsid w:val="3958036C"/>
    <w:rsid w:val="398A4966"/>
    <w:rsid w:val="39BF23B7"/>
    <w:rsid w:val="39D8648A"/>
    <w:rsid w:val="39F341FC"/>
    <w:rsid w:val="3A1E51E6"/>
    <w:rsid w:val="3A375CA8"/>
    <w:rsid w:val="3A4E6DBC"/>
    <w:rsid w:val="3AF126AF"/>
    <w:rsid w:val="3AFD31D5"/>
    <w:rsid w:val="3B1757C6"/>
    <w:rsid w:val="3BA12B5C"/>
    <w:rsid w:val="3BD356E5"/>
    <w:rsid w:val="3BD87B89"/>
    <w:rsid w:val="3BE4161E"/>
    <w:rsid w:val="3BF04572"/>
    <w:rsid w:val="3C0D403B"/>
    <w:rsid w:val="3C167469"/>
    <w:rsid w:val="3C9551F8"/>
    <w:rsid w:val="3CF10B63"/>
    <w:rsid w:val="3D303A3A"/>
    <w:rsid w:val="3D5172B0"/>
    <w:rsid w:val="3D576E60"/>
    <w:rsid w:val="3D7B2FB2"/>
    <w:rsid w:val="3DF173D4"/>
    <w:rsid w:val="3E7F3D7E"/>
    <w:rsid w:val="3EA242D1"/>
    <w:rsid w:val="3FB138C5"/>
    <w:rsid w:val="40C70D27"/>
    <w:rsid w:val="411078CD"/>
    <w:rsid w:val="4302576A"/>
    <w:rsid w:val="436F5E7F"/>
    <w:rsid w:val="439D1B66"/>
    <w:rsid w:val="44AE2036"/>
    <w:rsid w:val="44FF4F56"/>
    <w:rsid w:val="451A67FB"/>
    <w:rsid w:val="45236C3D"/>
    <w:rsid w:val="4527741A"/>
    <w:rsid w:val="45626A92"/>
    <w:rsid w:val="45864BD9"/>
    <w:rsid w:val="45C85196"/>
    <w:rsid w:val="45E939A4"/>
    <w:rsid w:val="46007588"/>
    <w:rsid w:val="466B569F"/>
    <w:rsid w:val="46B40B0B"/>
    <w:rsid w:val="46B571D4"/>
    <w:rsid w:val="470C691E"/>
    <w:rsid w:val="477D3EE9"/>
    <w:rsid w:val="4823080E"/>
    <w:rsid w:val="482D7728"/>
    <w:rsid w:val="48F53615"/>
    <w:rsid w:val="494B2A1F"/>
    <w:rsid w:val="49A33454"/>
    <w:rsid w:val="4A387783"/>
    <w:rsid w:val="4A733B88"/>
    <w:rsid w:val="4B132AF1"/>
    <w:rsid w:val="4C55370E"/>
    <w:rsid w:val="4C586072"/>
    <w:rsid w:val="4CCF5321"/>
    <w:rsid w:val="4CEF795D"/>
    <w:rsid w:val="4D0905FC"/>
    <w:rsid w:val="4D2D68AF"/>
    <w:rsid w:val="4DB04E83"/>
    <w:rsid w:val="4DE56DAD"/>
    <w:rsid w:val="4EE154B9"/>
    <w:rsid w:val="4F654ABC"/>
    <w:rsid w:val="505F6398"/>
    <w:rsid w:val="506061DA"/>
    <w:rsid w:val="50B014E3"/>
    <w:rsid w:val="51133395"/>
    <w:rsid w:val="51863118"/>
    <w:rsid w:val="51DF119C"/>
    <w:rsid w:val="526A12E9"/>
    <w:rsid w:val="52CD24EF"/>
    <w:rsid w:val="537C62DA"/>
    <w:rsid w:val="53F5614F"/>
    <w:rsid w:val="54022EA2"/>
    <w:rsid w:val="54412D2A"/>
    <w:rsid w:val="5485692B"/>
    <w:rsid w:val="550F4A2D"/>
    <w:rsid w:val="56160CAE"/>
    <w:rsid w:val="56383217"/>
    <w:rsid w:val="566B0399"/>
    <w:rsid w:val="57135BE5"/>
    <w:rsid w:val="571571AE"/>
    <w:rsid w:val="57592792"/>
    <w:rsid w:val="57AF1233"/>
    <w:rsid w:val="5886104B"/>
    <w:rsid w:val="58891327"/>
    <w:rsid w:val="58C5105E"/>
    <w:rsid w:val="59760091"/>
    <w:rsid w:val="59F93CA1"/>
    <w:rsid w:val="5A1701FB"/>
    <w:rsid w:val="5A42414A"/>
    <w:rsid w:val="5A9621C3"/>
    <w:rsid w:val="5AEE7257"/>
    <w:rsid w:val="5AFF3A8C"/>
    <w:rsid w:val="5B9C17BA"/>
    <w:rsid w:val="5BC95675"/>
    <w:rsid w:val="5C607281"/>
    <w:rsid w:val="5D1A3513"/>
    <w:rsid w:val="5D2A2B33"/>
    <w:rsid w:val="5D337C44"/>
    <w:rsid w:val="5E367243"/>
    <w:rsid w:val="5E563D46"/>
    <w:rsid w:val="5EB4480F"/>
    <w:rsid w:val="5EEF17D5"/>
    <w:rsid w:val="5EF02BBA"/>
    <w:rsid w:val="5F022486"/>
    <w:rsid w:val="5F7F3A9C"/>
    <w:rsid w:val="5F996801"/>
    <w:rsid w:val="6052009B"/>
    <w:rsid w:val="60E034A7"/>
    <w:rsid w:val="61205E70"/>
    <w:rsid w:val="61685DAE"/>
    <w:rsid w:val="61E15015"/>
    <w:rsid w:val="62D93D86"/>
    <w:rsid w:val="63115AC3"/>
    <w:rsid w:val="636A38F4"/>
    <w:rsid w:val="636A56BA"/>
    <w:rsid w:val="6457299A"/>
    <w:rsid w:val="65362106"/>
    <w:rsid w:val="656C4A1A"/>
    <w:rsid w:val="65790166"/>
    <w:rsid w:val="65DB6999"/>
    <w:rsid w:val="660E46F4"/>
    <w:rsid w:val="66350AD3"/>
    <w:rsid w:val="66FF2B3D"/>
    <w:rsid w:val="67DA56C6"/>
    <w:rsid w:val="68301BB8"/>
    <w:rsid w:val="69595FBA"/>
    <w:rsid w:val="69B8575D"/>
    <w:rsid w:val="69F201C5"/>
    <w:rsid w:val="6A2E111B"/>
    <w:rsid w:val="6A715E9F"/>
    <w:rsid w:val="6AC95741"/>
    <w:rsid w:val="6ACA31C3"/>
    <w:rsid w:val="6AE25E6B"/>
    <w:rsid w:val="6AF40388"/>
    <w:rsid w:val="6B282CC7"/>
    <w:rsid w:val="6B3237E5"/>
    <w:rsid w:val="6B9F2FA9"/>
    <w:rsid w:val="6CA53561"/>
    <w:rsid w:val="6CCE4B92"/>
    <w:rsid w:val="6CEE3336"/>
    <w:rsid w:val="6D201B5F"/>
    <w:rsid w:val="6DA97BC0"/>
    <w:rsid w:val="6DB12CE1"/>
    <w:rsid w:val="6DE452F5"/>
    <w:rsid w:val="6E60786D"/>
    <w:rsid w:val="6F4624AF"/>
    <w:rsid w:val="6F7F1E7E"/>
    <w:rsid w:val="6FB940CF"/>
    <w:rsid w:val="701F257D"/>
    <w:rsid w:val="7020598A"/>
    <w:rsid w:val="708E79BE"/>
    <w:rsid w:val="709370FE"/>
    <w:rsid w:val="70C74EBB"/>
    <w:rsid w:val="72067DC5"/>
    <w:rsid w:val="72560DCD"/>
    <w:rsid w:val="733C6B2C"/>
    <w:rsid w:val="735603CF"/>
    <w:rsid w:val="738A00D8"/>
    <w:rsid w:val="73E37E45"/>
    <w:rsid w:val="74200E27"/>
    <w:rsid w:val="74237D69"/>
    <w:rsid w:val="7473559F"/>
    <w:rsid w:val="74946771"/>
    <w:rsid w:val="74DA4938"/>
    <w:rsid w:val="751D45A2"/>
    <w:rsid w:val="760237DD"/>
    <w:rsid w:val="766461BC"/>
    <w:rsid w:val="772F2DF9"/>
    <w:rsid w:val="775B110B"/>
    <w:rsid w:val="778C2D91"/>
    <w:rsid w:val="77CB3044"/>
    <w:rsid w:val="77F4344E"/>
    <w:rsid w:val="788E5DC1"/>
    <w:rsid w:val="793609A7"/>
    <w:rsid w:val="793D60B1"/>
    <w:rsid w:val="79C008CD"/>
    <w:rsid w:val="79D80E11"/>
    <w:rsid w:val="7A6B5A5E"/>
    <w:rsid w:val="7AB13656"/>
    <w:rsid w:val="7AB91DA7"/>
    <w:rsid w:val="7B20013A"/>
    <w:rsid w:val="7B2D5633"/>
    <w:rsid w:val="7B6F2C94"/>
    <w:rsid w:val="7B7C5A2A"/>
    <w:rsid w:val="7BA826F1"/>
    <w:rsid w:val="7BCC3F01"/>
    <w:rsid w:val="7C7D6C58"/>
    <w:rsid w:val="7D2334DD"/>
    <w:rsid w:val="7D3F64CB"/>
    <w:rsid w:val="7D854AB7"/>
    <w:rsid w:val="7D916782"/>
    <w:rsid w:val="7DA80357"/>
    <w:rsid w:val="7DAA0064"/>
    <w:rsid w:val="7E075CB6"/>
    <w:rsid w:val="7E144E72"/>
    <w:rsid w:val="7E9300B5"/>
    <w:rsid w:val="7F401942"/>
    <w:rsid w:val="7F642B37"/>
    <w:rsid w:val="7F8242C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semiHidden="0" w:name="Balloon Text"/>
    <w:lsdException w:qFormat="1" w:unhideWhenUsed="0" w:uiPriority="39" w:semiHidden="0" w:name="Table Grid"/>
    <w:lsdException w:uiPriority="0"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next w:val="1"/>
    <w:link w:val="86"/>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63"/>
    <w:qFormat/>
    <w:uiPriority w:val="0"/>
    <w:pPr>
      <w:pBdr>
        <w:top w:val="none" w:color="auto" w:sz="0" w:space="0"/>
      </w:pBdr>
      <w:spacing w:before="180"/>
      <w:outlineLvl w:val="1"/>
    </w:pPr>
    <w:rPr>
      <w:sz w:val="32"/>
      <w:lang w:val="zh-CN" w:eastAsia="zh-CN"/>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58"/>
    <w:qFormat/>
    <w:uiPriority w:val="0"/>
    <w:pPr>
      <w:ind w:left="1418" w:hanging="1418"/>
      <w:outlineLvl w:val="3"/>
    </w:pPr>
    <w:rPr>
      <w:sz w:val="24"/>
    </w:rPr>
  </w:style>
  <w:style w:type="paragraph" w:styleId="6">
    <w:name w:val="heading 5"/>
    <w:basedOn w:val="5"/>
    <w:next w:val="1"/>
    <w:link w:val="97"/>
    <w:qFormat/>
    <w:uiPriority w:val="0"/>
    <w:pPr>
      <w:ind w:left="1701" w:hanging="1701"/>
      <w:outlineLvl w:val="4"/>
    </w:pPr>
    <w:rPr>
      <w:sz w:val="22"/>
    </w:rPr>
  </w:style>
  <w:style w:type="paragraph" w:styleId="7">
    <w:name w:val="heading 6"/>
    <w:basedOn w:val="8"/>
    <w:next w:val="1"/>
    <w:link w:val="78"/>
    <w:qFormat/>
    <w:uiPriority w:val="0"/>
    <w:pPr>
      <w:outlineLvl w:val="5"/>
    </w:pPr>
  </w:style>
  <w:style w:type="paragraph" w:styleId="9">
    <w:name w:val="heading 7"/>
    <w:basedOn w:val="8"/>
    <w:next w:val="1"/>
    <w:link w:val="79"/>
    <w:qFormat/>
    <w:uiPriority w:val="0"/>
    <w:pPr>
      <w:outlineLvl w:val="6"/>
    </w:pPr>
  </w:style>
  <w:style w:type="paragraph" w:styleId="10">
    <w:name w:val="heading 8"/>
    <w:basedOn w:val="2"/>
    <w:next w:val="1"/>
    <w:link w:val="98"/>
    <w:qFormat/>
    <w:uiPriority w:val="0"/>
    <w:pPr>
      <w:ind w:left="0" w:firstLine="0"/>
      <w:outlineLvl w:val="7"/>
    </w:pPr>
    <w:rPr>
      <w:lang w:val="zh-CN" w:eastAsia="zh-CN"/>
    </w:rPr>
  </w:style>
  <w:style w:type="paragraph" w:styleId="11">
    <w:name w:val="heading 9"/>
    <w:basedOn w:val="10"/>
    <w:next w:val="1"/>
    <w:link w:val="80"/>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76"/>
    <w:qFormat/>
    <w:uiPriority w:val="99"/>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56"/>
    <w:unhideWhenUsed/>
    <w:qFormat/>
    <w:uiPriority w:val="0"/>
    <w:pPr>
      <w:spacing w:after="0"/>
    </w:pPr>
    <w:rPr>
      <w:rFonts w:ascii="Segoe UI" w:hAnsi="Segoe UI" w:cs="Segoe UI"/>
      <w:sz w:val="18"/>
      <w:szCs w:val="18"/>
    </w:rPr>
  </w:style>
  <w:style w:type="paragraph" w:styleId="32">
    <w:name w:val="footer"/>
    <w:basedOn w:val="33"/>
    <w:link w:val="88"/>
    <w:qFormat/>
    <w:uiPriority w:val="0"/>
    <w:pPr>
      <w:jc w:val="center"/>
    </w:pPr>
    <w:rPr>
      <w:i/>
      <w:lang w:val="zh-CN" w:eastAsia="zh-CN"/>
    </w:rPr>
  </w:style>
  <w:style w:type="paragraph" w:styleId="33">
    <w:name w:val="header"/>
    <w:basedOn w:val="1"/>
    <w:link w:val="59"/>
    <w:qFormat/>
    <w:uiPriority w:val="0"/>
    <w:pPr>
      <w:widowControl w:val="0"/>
    </w:pPr>
    <w:rPr>
      <w:rFonts w:ascii="Arial" w:hAnsi="Arial"/>
      <w:b/>
      <w:sz w:val="18"/>
      <w:lang w:eastAsia="en-GB"/>
    </w:rPr>
  </w:style>
  <w:style w:type="paragraph" w:styleId="34">
    <w:name w:val="footnote text"/>
    <w:basedOn w:val="1"/>
    <w:link w:val="87"/>
    <w:qFormat/>
    <w:uiPriority w:val="0"/>
    <w:pPr>
      <w:keepLines/>
      <w:spacing w:after="0"/>
      <w:ind w:left="454" w:hanging="454"/>
    </w:pPr>
    <w:rPr>
      <w:sz w:val="16"/>
      <w:lang w:val="zh-CN" w:eastAsia="zh-CN"/>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8"/>
    <w:next w:val="28"/>
    <w:link w:val="90"/>
    <w:qFormat/>
    <w:uiPriority w:val="0"/>
    <w:rPr>
      <w:b/>
      <w:bCs/>
    </w:rPr>
  </w:style>
  <w:style w:type="table" w:styleId="42">
    <w:name w:val="Table Grid"/>
    <w:basedOn w:val="4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22"/>
    <w:rPr>
      <w:b/>
      <w:bCs/>
    </w:rPr>
  </w:style>
  <w:style w:type="character" w:styleId="45">
    <w:name w:val="Emphasis"/>
    <w:qFormat/>
    <w:uiPriority w:val="0"/>
    <w:rPr>
      <w:i/>
      <w:iCs/>
    </w:rPr>
  </w:style>
  <w:style w:type="character" w:styleId="46">
    <w:name w:val="Hyperlink"/>
    <w:qFormat/>
    <w:uiPriority w:val="0"/>
    <w:rPr>
      <w:color w:val="0000FF"/>
      <w:u w:val="single"/>
    </w:rPr>
  </w:style>
  <w:style w:type="character" w:styleId="47">
    <w:name w:val="annotation reference"/>
    <w:basedOn w:val="43"/>
    <w:qFormat/>
    <w:uiPriority w:val="0"/>
    <w:rPr>
      <w:sz w:val="16"/>
      <w:szCs w:val="16"/>
    </w:rPr>
  </w:style>
  <w:style w:type="character" w:styleId="48">
    <w:name w:val="footnote reference"/>
    <w:qFormat/>
    <w:uiPriority w:val="0"/>
    <w:rPr>
      <w:b/>
      <w:position w:val="6"/>
      <w:sz w:val="16"/>
    </w:rPr>
  </w:style>
  <w:style w:type="paragraph" w:styleId="49">
    <w:name w:val="List Paragraph"/>
    <w:basedOn w:val="1"/>
    <w:qFormat/>
    <w:uiPriority w:val="34"/>
    <w:pPr>
      <w:overflowPunct/>
      <w:autoSpaceDE/>
      <w:autoSpaceDN/>
      <w:adjustRightInd/>
      <w:ind w:left="720"/>
      <w:contextualSpacing/>
      <w:textAlignment w:val="auto"/>
    </w:pPr>
    <w:rPr>
      <w:lang w:eastAsia="en-US"/>
    </w:rPr>
  </w:style>
  <w:style w:type="paragraph" w:customStyle="1" w:styleId="50">
    <w:name w:val="B1"/>
    <w:basedOn w:val="14"/>
    <w:link w:val="99"/>
    <w:qFormat/>
    <w:uiPriority w:val="0"/>
    <w:rPr>
      <w:lang w:val="zh-CN" w:eastAsia="zh-CN"/>
    </w:rPr>
  </w:style>
  <w:style w:type="paragraph" w:customStyle="1" w:styleId="51">
    <w:name w:val="TH"/>
    <w:basedOn w:val="1"/>
    <w:link w:val="62"/>
    <w:qFormat/>
    <w:uiPriority w:val="0"/>
    <w:pPr>
      <w:keepNext/>
      <w:keepLines/>
      <w:spacing w:before="60"/>
      <w:jc w:val="center"/>
    </w:pPr>
    <w:rPr>
      <w:rFonts w:ascii="Arial" w:hAnsi="Arial"/>
      <w:b/>
      <w:lang w:val="zh-CN" w:eastAsia="zh-CN"/>
    </w:rPr>
  </w:style>
  <w:style w:type="character" w:customStyle="1" w:styleId="52">
    <w:name w:val="fontstyle01"/>
    <w:basedOn w:val="43"/>
    <w:qFormat/>
    <w:uiPriority w:val="0"/>
    <w:rPr>
      <w:rFonts w:hint="default" w:ascii="Times New Roman" w:hAnsi="Times New Roman" w:cs="Times New Roman"/>
      <w:i/>
      <w:iCs/>
      <w:color w:val="000000"/>
      <w:sz w:val="20"/>
      <w:szCs w:val="20"/>
    </w:rPr>
  </w:style>
  <w:style w:type="paragraph" w:customStyle="1" w:styleId="53">
    <w:name w:val="TAH"/>
    <w:basedOn w:val="54"/>
    <w:link w:val="60"/>
    <w:qFormat/>
    <w:uiPriority w:val="0"/>
    <w:rPr>
      <w:b/>
    </w:rPr>
  </w:style>
  <w:style w:type="paragraph" w:customStyle="1" w:styleId="54">
    <w:name w:val="TAC"/>
    <w:basedOn w:val="55"/>
    <w:link w:val="94"/>
    <w:qFormat/>
    <w:uiPriority w:val="0"/>
    <w:pPr>
      <w:jc w:val="center"/>
    </w:pPr>
  </w:style>
  <w:style w:type="paragraph" w:customStyle="1" w:styleId="55">
    <w:name w:val="TAL"/>
    <w:basedOn w:val="1"/>
    <w:link w:val="57"/>
    <w:qFormat/>
    <w:uiPriority w:val="0"/>
    <w:pPr>
      <w:keepNext/>
      <w:keepLines/>
      <w:spacing w:after="0"/>
    </w:pPr>
    <w:rPr>
      <w:rFonts w:ascii="Arial" w:hAnsi="Arial"/>
      <w:sz w:val="18"/>
      <w:lang w:val="zh-CN" w:eastAsia="zh-CN"/>
    </w:rPr>
  </w:style>
  <w:style w:type="character" w:customStyle="1" w:styleId="56">
    <w:name w:val="Balloon Text Char"/>
    <w:basedOn w:val="43"/>
    <w:link w:val="31"/>
    <w:semiHidden/>
    <w:qFormat/>
    <w:uiPriority w:val="0"/>
    <w:rPr>
      <w:rFonts w:ascii="Segoe UI" w:hAnsi="Segoe UI" w:eastAsia="Times New Roman" w:cs="Segoe UI"/>
      <w:sz w:val="18"/>
      <w:szCs w:val="18"/>
      <w:lang w:val="en-GB" w:eastAsia="ja-JP"/>
    </w:rPr>
  </w:style>
  <w:style w:type="character" w:customStyle="1" w:styleId="57">
    <w:name w:val="TAL Car"/>
    <w:link w:val="55"/>
    <w:qFormat/>
    <w:uiPriority w:val="0"/>
    <w:rPr>
      <w:rFonts w:ascii="Arial" w:hAnsi="Arial" w:eastAsia="Times New Roman"/>
      <w:sz w:val="18"/>
    </w:rPr>
  </w:style>
  <w:style w:type="character" w:customStyle="1" w:styleId="58">
    <w:name w:val="Heading 4 Char"/>
    <w:link w:val="5"/>
    <w:qFormat/>
    <w:locked/>
    <w:uiPriority w:val="0"/>
    <w:rPr>
      <w:rFonts w:ascii="Arial" w:hAnsi="Arial" w:eastAsia="Times New Roman"/>
      <w:sz w:val="24"/>
    </w:rPr>
  </w:style>
  <w:style w:type="character" w:customStyle="1" w:styleId="59">
    <w:name w:val="Header Char"/>
    <w:link w:val="33"/>
    <w:qFormat/>
    <w:uiPriority w:val="0"/>
    <w:rPr>
      <w:rFonts w:ascii="Arial" w:hAnsi="Arial" w:eastAsia="Times New Roman"/>
      <w:b/>
      <w:sz w:val="18"/>
      <w:lang w:bidi="ar-SA"/>
    </w:rPr>
  </w:style>
  <w:style w:type="character" w:customStyle="1" w:styleId="60">
    <w:name w:val="TAH Car"/>
    <w:link w:val="53"/>
    <w:qFormat/>
    <w:locked/>
    <w:uiPriority w:val="0"/>
    <w:rPr>
      <w:rFonts w:ascii="Arial" w:hAnsi="Arial" w:eastAsia="Times New Roman"/>
      <w:b/>
      <w:sz w:val="18"/>
    </w:rPr>
  </w:style>
  <w:style w:type="character" w:customStyle="1" w:styleId="61">
    <w:name w:val="B1 Char"/>
    <w:qFormat/>
    <w:uiPriority w:val="0"/>
    <w:rPr>
      <w:lang w:val="en-GB" w:eastAsia="en-US"/>
    </w:rPr>
  </w:style>
  <w:style w:type="character" w:customStyle="1" w:styleId="62">
    <w:name w:val="TH Char"/>
    <w:link w:val="51"/>
    <w:qFormat/>
    <w:uiPriority w:val="0"/>
    <w:rPr>
      <w:rFonts w:ascii="Arial" w:hAnsi="Arial" w:eastAsia="Times New Roman"/>
      <w:b/>
    </w:rPr>
  </w:style>
  <w:style w:type="character" w:customStyle="1" w:styleId="63">
    <w:name w:val="Heading 2 Char"/>
    <w:link w:val="3"/>
    <w:qFormat/>
    <w:uiPriority w:val="0"/>
    <w:rPr>
      <w:rFonts w:ascii="Arial" w:hAnsi="Arial" w:eastAsia="Times New Roman"/>
      <w:sz w:val="32"/>
    </w:rPr>
  </w:style>
  <w:style w:type="character" w:customStyle="1" w:styleId="64">
    <w:name w:val="Editor's Note Char"/>
    <w:link w:val="65"/>
    <w:qFormat/>
    <w:uiPriority w:val="0"/>
    <w:rPr>
      <w:rFonts w:eastAsia="Times New Roman"/>
      <w:color w:val="FF0000"/>
    </w:rPr>
  </w:style>
  <w:style w:type="paragraph" w:customStyle="1" w:styleId="65">
    <w:name w:val="Editor's Note"/>
    <w:basedOn w:val="66"/>
    <w:link w:val="64"/>
    <w:qFormat/>
    <w:uiPriority w:val="0"/>
    <w:rPr>
      <w:color w:val="FF0000"/>
    </w:rPr>
  </w:style>
  <w:style w:type="paragraph" w:customStyle="1" w:styleId="66">
    <w:name w:val="NO"/>
    <w:basedOn w:val="1"/>
    <w:link w:val="89"/>
    <w:qFormat/>
    <w:uiPriority w:val="0"/>
    <w:pPr>
      <w:keepLines/>
      <w:ind w:left="1135" w:hanging="851"/>
    </w:pPr>
    <w:rPr>
      <w:lang w:val="zh-CN" w:eastAsia="zh-CN"/>
    </w:rPr>
  </w:style>
  <w:style w:type="character" w:customStyle="1" w:styleId="67">
    <w:name w:val="B6 Char"/>
    <w:link w:val="68"/>
    <w:qFormat/>
    <w:uiPriority w:val="0"/>
    <w:rPr>
      <w:rFonts w:eastAsia="Times New Roman"/>
      <w:lang w:eastAsia="ja-JP"/>
    </w:rPr>
  </w:style>
  <w:style w:type="paragraph" w:customStyle="1" w:styleId="68">
    <w:name w:val="B6"/>
    <w:basedOn w:val="69"/>
    <w:link w:val="67"/>
    <w:qFormat/>
    <w:uiPriority w:val="0"/>
    <w:pPr>
      <w:ind w:left="1985"/>
    </w:pPr>
    <w:rPr>
      <w:lang w:eastAsia="ja-JP"/>
    </w:rPr>
  </w:style>
  <w:style w:type="paragraph" w:customStyle="1" w:styleId="69">
    <w:name w:val="B5"/>
    <w:basedOn w:val="35"/>
    <w:link w:val="77"/>
    <w:qFormat/>
    <w:uiPriority w:val="0"/>
    <w:rPr>
      <w:lang w:val="zh-CN" w:eastAsia="zh-CN"/>
    </w:rPr>
  </w:style>
  <w:style w:type="character" w:customStyle="1" w:styleId="70">
    <w:name w:val="B3 Char"/>
    <w:qFormat/>
    <w:uiPriority w:val="0"/>
    <w:rPr>
      <w:rFonts w:eastAsia="Times New Roman"/>
    </w:rPr>
  </w:style>
  <w:style w:type="character" w:customStyle="1" w:styleId="71">
    <w:name w:val="PL Char"/>
    <w:link w:val="72"/>
    <w:qFormat/>
    <w:uiPriority w:val="0"/>
    <w:rPr>
      <w:rFonts w:ascii="Courier New" w:hAnsi="Courier New" w:eastAsia="Times New Roman"/>
      <w:sz w:val="16"/>
      <w:shd w:val="clear" w:color="auto" w:fill="E6E6E6"/>
    </w:rPr>
  </w:style>
  <w:style w:type="paragraph" w:customStyle="1" w:styleId="72">
    <w:name w:val="PL"/>
    <w:link w:val="7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73">
    <w:name w:val="B1 Zchn"/>
    <w:qFormat/>
    <w:uiPriority w:val="0"/>
    <w:rPr>
      <w:lang w:val="en-GB"/>
    </w:rPr>
  </w:style>
  <w:style w:type="character" w:customStyle="1" w:styleId="74">
    <w:name w:val="B7 Char"/>
    <w:link w:val="75"/>
    <w:qFormat/>
    <w:uiPriority w:val="0"/>
    <w:rPr>
      <w:rFonts w:eastAsia="Times New Roman"/>
      <w:lang w:eastAsia="ja-JP"/>
    </w:rPr>
  </w:style>
  <w:style w:type="paragraph" w:customStyle="1" w:styleId="75">
    <w:name w:val="B7"/>
    <w:basedOn w:val="68"/>
    <w:link w:val="74"/>
    <w:qFormat/>
    <w:uiPriority w:val="0"/>
    <w:pPr>
      <w:ind w:left="2269"/>
    </w:pPr>
  </w:style>
  <w:style w:type="character" w:customStyle="1" w:styleId="76">
    <w:name w:val="Comment Text Char"/>
    <w:basedOn w:val="43"/>
    <w:link w:val="28"/>
    <w:qFormat/>
    <w:uiPriority w:val="99"/>
    <w:rPr>
      <w:rFonts w:eastAsia="Times New Roman"/>
      <w:lang w:val="en-GB" w:eastAsia="ja-JP"/>
    </w:rPr>
  </w:style>
  <w:style w:type="character" w:customStyle="1" w:styleId="77">
    <w:name w:val="B5 Char"/>
    <w:link w:val="69"/>
    <w:qFormat/>
    <w:uiPriority w:val="0"/>
    <w:rPr>
      <w:rFonts w:eastAsia="Times New Roman"/>
    </w:rPr>
  </w:style>
  <w:style w:type="character" w:customStyle="1" w:styleId="78">
    <w:name w:val="Heading 6 Char"/>
    <w:link w:val="7"/>
    <w:qFormat/>
    <w:uiPriority w:val="0"/>
    <w:rPr>
      <w:rFonts w:ascii="Arial" w:hAnsi="Arial" w:eastAsia="Times New Roman"/>
    </w:rPr>
  </w:style>
  <w:style w:type="character" w:customStyle="1" w:styleId="79">
    <w:name w:val="Heading 7 Char"/>
    <w:link w:val="9"/>
    <w:qFormat/>
    <w:uiPriority w:val="0"/>
    <w:rPr>
      <w:rFonts w:ascii="Arial" w:hAnsi="Arial" w:eastAsia="Times New Roman"/>
    </w:rPr>
  </w:style>
  <w:style w:type="character" w:customStyle="1" w:styleId="80">
    <w:name w:val="Heading 9 Char"/>
    <w:link w:val="11"/>
    <w:qFormat/>
    <w:uiPriority w:val="0"/>
    <w:rPr>
      <w:rFonts w:ascii="Arial" w:hAnsi="Arial" w:eastAsia="Times New Roman"/>
      <w:sz w:val="36"/>
    </w:rPr>
  </w:style>
  <w:style w:type="character" w:customStyle="1" w:styleId="81">
    <w:name w:val="B4 Char"/>
    <w:link w:val="82"/>
    <w:qFormat/>
    <w:uiPriority w:val="0"/>
    <w:rPr>
      <w:rFonts w:eastAsia="Times New Roman"/>
    </w:rPr>
  </w:style>
  <w:style w:type="paragraph" w:customStyle="1" w:styleId="82">
    <w:name w:val="B4"/>
    <w:basedOn w:val="36"/>
    <w:link w:val="81"/>
    <w:qFormat/>
    <w:uiPriority w:val="0"/>
    <w:rPr>
      <w:lang w:val="zh-CN" w:eastAsia="zh-CN"/>
    </w:rPr>
  </w:style>
  <w:style w:type="character" w:customStyle="1" w:styleId="83">
    <w:name w:val="ZGSM"/>
    <w:qFormat/>
    <w:uiPriority w:val="0"/>
  </w:style>
  <w:style w:type="character" w:customStyle="1" w:styleId="84">
    <w:name w:val="B3 Char2"/>
    <w:link w:val="85"/>
    <w:qFormat/>
    <w:uiPriority w:val="0"/>
    <w:rPr>
      <w:rFonts w:eastAsia="Times New Roman"/>
    </w:rPr>
  </w:style>
  <w:style w:type="paragraph" w:customStyle="1" w:styleId="85">
    <w:name w:val="B3"/>
    <w:basedOn w:val="12"/>
    <w:link w:val="84"/>
    <w:qFormat/>
    <w:uiPriority w:val="0"/>
    <w:rPr>
      <w:lang w:val="zh-CN" w:eastAsia="zh-CN"/>
    </w:rPr>
  </w:style>
  <w:style w:type="character" w:customStyle="1" w:styleId="86">
    <w:name w:val="Heading 1 Char"/>
    <w:link w:val="2"/>
    <w:qFormat/>
    <w:uiPriority w:val="0"/>
    <w:rPr>
      <w:rFonts w:ascii="Arial" w:hAnsi="Arial" w:eastAsia="Times New Roman"/>
      <w:sz w:val="36"/>
      <w:lang w:bidi="ar-SA"/>
    </w:rPr>
  </w:style>
  <w:style w:type="character" w:customStyle="1" w:styleId="87">
    <w:name w:val="Footnote Text Char"/>
    <w:link w:val="34"/>
    <w:qFormat/>
    <w:uiPriority w:val="0"/>
    <w:rPr>
      <w:rFonts w:eastAsia="Times New Roman"/>
      <w:sz w:val="16"/>
    </w:rPr>
  </w:style>
  <w:style w:type="character" w:customStyle="1" w:styleId="88">
    <w:name w:val="Footer Char"/>
    <w:link w:val="32"/>
    <w:qFormat/>
    <w:uiPriority w:val="0"/>
    <w:rPr>
      <w:rFonts w:ascii="Arial" w:hAnsi="Arial" w:eastAsia="Times New Roman"/>
      <w:b/>
      <w:i/>
      <w:sz w:val="18"/>
    </w:rPr>
  </w:style>
  <w:style w:type="character" w:customStyle="1" w:styleId="89">
    <w:name w:val="NO Char"/>
    <w:link w:val="66"/>
    <w:qFormat/>
    <w:uiPriority w:val="0"/>
    <w:rPr>
      <w:rFonts w:eastAsia="Times New Roman"/>
    </w:rPr>
  </w:style>
  <w:style w:type="character" w:customStyle="1" w:styleId="90">
    <w:name w:val="Comment Subject Char"/>
    <w:basedOn w:val="76"/>
    <w:link w:val="40"/>
    <w:qFormat/>
    <w:uiPriority w:val="0"/>
    <w:rPr>
      <w:rFonts w:eastAsia="Times New Roman"/>
      <w:b/>
      <w:bCs/>
      <w:lang w:val="en-GB" w:eastAsia="ja-JP"/>
    </w:rPr>
  </w:style>
  <w:style w:type="character" w:customStyle="1" w:styleId="91">
    <w:name w:val="首标题"/>
    <w:qFormat/>
    <w:uiPriority w:val="0"/>
    <w:rPr>
      <w:rFonts w:ascii="Arial" w:hAnsi="Arial" w:eastAsia="宋体"/>
      <w:sz w:val="24"/>
    </w:rPr>
  </w:style>
  <w:style w:type="character" w:customStyle="1" w:styleId="92">
    <w:name w:val="CR Cover Page Zchn"/>
    <w:link w:val="93"/>
    <w:qFormat/>
    <w:uiPriority w:val="0"/>
    <w:rPr>
      <w:rFonts w:ascii="Arial" w:hAnsi="Arial" w:eastAsia="MS Mincho"/>
      <w:lang w:val="en-GB"/>
    </w:rPr>
  </w:style>
  <w:style w:type="paragraph" w:customStyle="1" w:styleId="93">
    <w:name w:val="CR Cover Page"/>
    <w:link w:val="92"/>
    <w:qFormat/>
    <w:uiPriority w:val="0"/>
    <w:pPr>
      <w:spacing w:after="120" w:line="259" w:lineRule="auto"/>
    </w:pPr>
    <w:rPr>
      <w:rFonts w:ascii="Arial" w:hAnsi="Arial" w:eastAsia="MS Mincho" w:cs="Times New Roman"/>
      <w:lang w:val="en-GB" w:eastAsia="sv-SE" w:bidi="ar-SA"/>
    </w:rPr>
  </w:style>
  <w:style w:type="character" w:customStyle="1" w:styleId="94">
    <w:name w:val="TAC Char"/>
    <w:link w:val="54"/>
    <w:qFormat/>
    <w:locked/>
    <w:uiPriority w:val="0"/>
    <w:rPr>
      <w:rFonts w:ascii="Arial" w:hAnsi="Arial" w:eastAsia="Times New Roman"/>
      <w:sz w:val="18"/>
    </w:rPr>
  </w:style>
  <w:style w:type="character" w:customStyle="1" w:styleId="95">
    <w:name w:val="TF Char"/>
    <w:link w:val="96"/>
    <w:qFormat/>
    <w:uiPriority w:val="0"/>
    <w:rPr>
      <w:rFonts w:ascii="Arial" w:hAnsi="Arial" w:eastAsia="Times New Roman"/>
      <w:b/>
      <w:lang w:val="en-GB" w:eastAsia="ja-JP"/>
    </w:rPr>
  </w:style>
  <w:style w:type="paragraph" w:customStyle="1" w:styleId="96">
    <w:name w:val="TF"/>
    <w:basedOn w:val="51"/>
    <w:link w:val="95"/>
    <w:qFormat/>
    <w:uiPriority w:val="0"/>
    <w:pPr>
      <w:keepNext w:val="0"/>
      <w:spacing w:before="0" w:after="240"/>
    </w:pPr>
    <w:rPr>
      <w:lang w:val="en-GB" w:eastAsia="ja-JP"/>
    </w:rPr>
  </w:style>
  <w:style w:type="character" w:customStyle="1" w:styleId="97">
    <w:name w:val="Heading 5 Char"/>
    <w:link w:val="6"/>
    <w:qFormat/>
    <w:uiPriority w:val="0"/>
    <w:rPr>
      <w:rFonts w:ascii="Arial" w:hAnsi="Arial" w:eastAsia="Times New Roman"/>
      <w:sz w:val="22"/>
    </w:rPr>
  </w:style>
  <w:style w:type="character" w:customStyle="1" w:styleId="98">
    <w:name w:val="Heading 8 Char"/>
    <w:link w:val="10"/>
    <w:qFormat/>
    <w:uiPriority w:val="0"/>
    <w:rPr>
      <w:rFonts w:ascii="Arial" w:hAnsi="Arial" w:eastAsia="Times New Roman"/>
      <w:sz w:val="36"/>
    </w:rPr>
  </w:style>
  <w:style w:type="character" w:customStyle="1" w:styleId="99">
    <w:name w:val="B1 Char1"/>
    <w:link w:val="50"/>
    <w:qFormat/>
    <w:uiPriority w:val="0"/>
    <w:rPr>
      <w:rFonts w:eastAsia="Times New Roman"/>
    </w:rPr>
  </w:style>
  <w:style w:type="character" w:customStyle="1" w:styleId="100">
    <w:name w:val="Heading 3 Char"/>
    <w:link w:val="4"/>
    <w:qFormat/>
    <w:uiPriority w:val="0"/>
    <w:rPr>
      <w:rFonts w:ascii="Arial" w:hAnsi="Arial" w:eastAsia="Times New Roman"/>
      <w:sz w:val="28"/>
    </w:rPr>
  </w:style>
  <w:style w:type="character" w:customStyle="1" w:styleId="101">
    <w:name w:val="B2 Char"/>
    <w:link w:val="102"/>
    <w:qFormat/>
    <w:uiPriority w:val="0"/>
    <w:rPr>
      <w:rFonts w:eastAsia="Times New Roman"/>
    </w:rPr>
  </w:style>
  <w:style w:type="paragraph" w:customStyle="1" w:styleId="102">
    <w:name w:val="B2"/>
    <w:basedOn w:val="13"/>
    <w:link w:val="101"/>
    <w:qFormat/>
    <w:uiPriority w:val="0"/>
    <w:rPr>
      <w:lang w:val="zh-CN" w:eastAsia="zh-CN"/>
    </w:rPr>
  </w:style>
  <w:style w:type="paragraph" w:customStyle="1" w:styleId="10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104">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hAnsi="Monotype Sorts" w:eastAsia="Calibri" w:cs="Monotype Sorts"/>
      <w:bCs/>
      <w:i/>
      <w:sz w:val="22"/>
      <w:szCs w:val="22"/>
      <w:lang w:val="sv-SE" w:eastAsia="ko-KR"/>
    </w:rPr>
  </w:style>
  <w:style w:type="paragraph" w:customStyle="1" w:styleId="105">
    <w:name w:val="Revision2"/>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06">
    <w:name w:val="NW"/>
    <w:basedOn w:val="66"/>
    <w:qFormat/>
    <w:uiPriority w:val="0"/>
    <w:pPr>
      <w:spacing w:after="0"/>
    </w:pPr>
  </w:style>
  <w:style w:type="paragraph" w:customStyle="1" w:styleId="107">
    <w:name w:val="EQ"/>
    <w:basedOn w:val="1"/>
    <w:next w:val="1"/>
    <w:qFormat/>
    <w:uiPriority w:val="0"/>
    <w:pPr>
      <w:keepLines/>
      <w:tabs>
        <w:tab w:val="center" w:pos="4536"/>
        <w:tab w:val="right" w:pos="9072"/>
      </w:tabs>
    </w:pPr>
  </w:style>
  <w:style w:type="paragraph" w:customStyle="1" w:styleId="10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109">
    <w:name w:val="TAN"/>
    <w:basedOn w:val="55"/>
    <w:qFormat/>
    <w:uiPriority w:val="0"/>
    <w:pPr>
      <w:ind w:left="851" w:hanging="851"/>
    </w:pPr>
  </w:style>
  <w:style w:type="paragraph" w:customStyle="1" w:styleId="110">
    <w:name w:val="Doc-text2"/>
    <w:basedOn w:val="1"/>
    <w:qFormat/>
    <w:uiPriority w:val="0"/>
    <w:pPr>
      <w:tabs>
        <w:tab w:val="left" w:pos="1622"/>
      </w:tabs>
      <w:ind w:left="1622" w:hanging="363"/>
    </w:pPr>
    <w:rPr>
      <w:rFonts w:ascii="Arial" w:hAnsi="Arial"/>
      <w:lang w:eastAsia="en-GB"/>
    </w:rPr>
  </w:style>
  <w:style w:type="paragraph" w:customStyle="1" w:styleId="111">
    <w:name w:val="TT"/>
    <w:basedOn w:val="2"/>
    <w:next w:val="1"/>
    <w:qFormat/>
    <w:uiPriority w:val="0"/>
    <w:pPr>
      <w:outlineLvl w:val="9"/>
    </w:pPr>
  </w:style>
  <w:style w:type="paragraph" w:customStyle="1" w:styleId="112">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113">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paragraph" w:customStyle="1" w:styleId="114">
    <w:name w:val="TAR"/>
    <w:basedOn w:val="55"/>
    <w:qFormat/>
    <w:uiPriority w:val="0"/>
    <w:pPr>
      <w:jc w:val="right"/>
    </w:pPr>
  </w:style>
  <w:style w:type="paragraph" w:customStyle="1" w:styleId="115">
    <w:name w:val="B9"/>
    <w:basedOn w:val="116"/>
    <w:qFormat/>
    <w:uiPriority w:val="0"/>
    <w:pPr>
      <w:ind w:left="2836"/>
    </w:pPr>
  </w:style>
  <w:style w:type="paragraph" w:customStyle="1" w:styleId="116">
    <w:name w:val="B8"/>
    <w:basedOn w:val="75"/>
    <w:qFormat/>
    <w:uiPriority w:val="0"/>
    <w:pPr>
      <w:ind w:left="2552"/>
    </w:pPr>
  </w:style>
  <w:style w:type="paragraph" w:customStyle="1" w:styleId="117">
    <w:name w:val="Agreement"/>
    <w:basedOn w:val="1"/>
    <w:next w:val="110"/>
    <w:qFormat/>
    <w:uiPriority w:val="0"/>
    <w:pPr>
      <w:numPr>
        <w:ilvl w:val="0"/>
        <w:numId w:val="1"/>
      </w:numPr>
      <w:tabs>
        <w:tab w:val="left" w:pos="1619"/>
        <w:tab w:val="clear" w:pos="779"/>
      </w:tabs>
      <w:overflowPunct/>
      <w:autoSpaceDE/>
      <w:autoSpaceDN/>
      <w:adjustRightInd/>
      <w:spacing w:before="60" w:after="0"/>
      <w:textAlignment w:val="auto"/>
    </w:pPr>
    <w:rPr>
      <w:rFonts w:ascii="Arial" w:hAnsi="Arial" w:eastAsia="MS Mincho"/>
      <w:b/>
      <w:szCs w:val="24"/>
      <w:lang w:eastAsia="en-GB"/>
    </w:rPr>
  </w:style>
  <w:style w:type="paragraph" w:customStyle="1" w:styleId="118">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19">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120">
    <w:name w:val="FP"/>
    <w:basedOn w:val="1"/>
    <w:qFormat/>
    <w:uiPriority w:val="0"/>
    <w:pPr>
      <w:spacing w:after="0"/>
    </w:pPr>
  </w:style>
  <w:style w:type="paragraph" w:customStyle="1" w:styleId="121">
    <w:name w:val="NF"/>
    <w:basedOn w:val="66"/>
    <w:qFormat/>
    <w:uiPriority w:val="0"/>
    <w:pPr>
      <w:keepNext/>
      <w:spacing w:after="0"/>
    </w:pPr>
    <w:rPr>
      <w:rFonts w:ascii="Arial" w:hAnsi="Arial"/>
      <w:sz w:val="18"/>
    </w:rPr>
  </w:style>
  <w:style w:type="paragraph" w:customStyle="1" w:styleId="122">
    <w:name w:val="Revision1"/>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3">
    <w:name w:val="ZTD"/>
    <w:basedOn w:val="103"/>
    <w:qFormat/>
    <w:uiPriority w:val="0"/>
    <w:pPr>
      <w:framePr w:hRule="auto" w:y="852"/>
    </w:pPr>
    <w:rPr>
      <w:i w:val="0"/>
      <w:sz w:val="40"/>
    </w:rPr>
  </w:style>
  <w:style w:type="paragraph" w:customStyle="1" w:styleId="124">
    <w:name w:val="EW"/>
    <w:basedOn w:val="125"/>
    <w:qFormat/>
    <w:uiPriority w:val="0"/>
    <w:pPr>
      <w:spacing w:after="0"/>
    </w:pPr>
  </w:style>
  <w:style w:type="paragraph" w:customStyle="1" w:styleId="125">
    <w:name w:val="EX"/>
    <w:basedOn w:val="1"/>
    <w:qFormat/>
    <w:uiPriority w:val="0"/>
    <w:pPr>
      <w:keepLines/>
      <w:ind w:left="1702" w:hanging="1418"/>
    </w:pPr>
  </w:style>
  <w:style w:type="paragraph" w:customStyle="1" w:styleId="12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128">
    <w:name w:val="ZV"/>
    <w:basedOn w:val="118"/>
    <w:qFormat/>
    <w:uiPriority w:val="0"/>
    <w:pPr>
      <w:framePr w:y="16161"/>
    </w:pPr>
  </w:style>
  <w:style w:type="paragraph" w:styleId="129">
    <w:name w:val="No Spacing"/>
    <w:basedOn w:val="1"/>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2.emf"/><Relationship Id="rId16" Type="http://schemas.openxmlformats.org/officeDocument/2006/relationships/oleObject" Target="embeddings/oleObject2.bin"/><Relationship Id="rId15" Type="http://schemas.openxmlformats.org/officeDocument/2006/relationships/image" Target="media/image1.emf"/><Relationship Id="rId14" Type="http://schemas.openxmlformats.org/officeDocument/2006/relationships/oleObject" Target="embeddings/oleObject1.bin"/><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D9C96B-7719-4FD9-ADEF-9DE995F89923}">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 Ltd.</Company>
  <Pages>150</Pages>
  <Words>30133</Words>
  <Characters>159707</Characters>
  <Lines>1330</Lines>
  <Paragraphs>378</Paragraphs>
  <TotalTime>1</TotalTime>
  <ScaleCrop>false</ScaleCrop>
  <LinksUpToDate>false</LinksUpToDate>
  <CharactersWithSpaces>189462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2022-05-17T06:15:00Z</dcterms:created>
  <dc:creator>MCC Support</dc:creator>
  <cp:lastModifiedBy>ZTE</cp:lastModifiedBy>
  <cp:lastPrinted>2017-05-08T07:55:00Z</cp:lastPrinted>
  <dcterms:modified xsi:type="dcterms:W3CDTF">2023-11-03T07:15:43Z</dcterms:modified>
  <dc:subject>NR; Radio Resource Control (RRC) protocol specification (Release 15)</dc:subject>
  <dc:title>3GPP TS 38.331</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y fmtid="{D5CDD505-2E9C-101B-9397-08002B2CF9AE}" pid="65" name="KSOProductBuildVer">
    <vt:lpwstr>2052-11.8.2.12085</vt:lpwstr>
  </property>
  <property fmtid="{D5CDD505-2E9C-101B-9397-08002B2CF9AE}" pid="66" name="ICV">
    <vt:lpwstr>BBA147BE06DD48FC971BC0CD608408E4</vt:lpwstr>
  </property>
</Properties>
</file>